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sz w:val="36"/>
        </w:rPr>
        <w:t>PPD Prediction — Full Model Results</w:t>
      </w:r>
    </w:p>
    <w:p>
      <w:r>
        <w:rPr>
          <w:i/>
          <w:color w:val="444444"/>
          <w:sz w:val="22"/>
        </w:rPr>
        <w:t>Leakage-Free Machine Learning Framework for Postpartum Depression Prediction in Bangladesh</w:t>
      </w:r>
    </w:p>
    <w:p/>
    <w:p>
      <w:pPr>
        <w:pStyle w:val="Heading2"/>
      </w:pPr>
      <w:r>
        <w:rPr>
          <w:rFonts w:ascii="Calibri" w:hAnsi="Calibri"/>
        </w:rPr>
        <w:t>Table 1: Baseline Model Performance Comparison</w:t>
      </w:r>
    </w:p>
    <w:p>
      <w:r>
        <w:rPr>
          <w:rFonts w:ascii="Calibri" w:hAnsi="Calibri"/>
          <w:i/>
          <w:color w:val="444444"/>
          <w:sz w:val="18"/>
        </w:rPr>
        <w:t>★ = adopted model. All models trained on Arm B (raw + composite indices). Lin. Reg. + Threshold is the adopted model for PHQ9 (ordinal-aware). CV F1 = 5-fold F1-macro; Test F1 = holdout F1-macro; AUC = holdout ROC-AUC.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2592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Model</w:t>
            </w:r>
          </w:p>
        </w:tc>
        <w:tc>
          <w:tcPr>
            <w:tcW w:type="dxa" w:w="936"/>
            <w:gridSpan w:val="3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PPD_binary (Binary)</w:t>
            </w:r>
          </w:p>
        </w:tc>
        <w:tc>
          <w:tcPr>
            <w:tcW w:type="dxa" w:w="936"/>
            <w:gridSpan w:val="3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EPDS Result (3-class)</w:t>
            </w:r>
          </w:p>
        </w:tc>
        <w:tc>
          <w:tcPr>
            <w:tcW w:type="dxa" w:w="936"/>
            <w:gridSpan w:val="3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PHQ9 Result (5-class)</w:t>
            </w:r>
          </w:p>
        </w:tc>
      </w:tr>
      <w:tr>
        <w:tc>
          <w:tcPr>
            <w:tcW w:type="dxa" w:w="2592"/>
            <w:vAlign w:val="center"/>
            <w:shd w:val="clear" w:color="auto" w:fill="D9E1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</w:r>
          </w:p>
        </w:tc>
        <w:tc>
          <w:tcPr>
            <w:tcW w:type="dxa" w:w="936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CV F1</w:t>
            </w:r>
          </w:p>
        </w:tc>
        <w:tc>
          <w:tcPr>
            <w:tcW w:type="dxa" w:w="936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Test F1</w:t>
            </w:r>
          </w:p>
        </w:tc>
        <w:tc>
          <w:tcPr>
            <w:tcW w:type="dxa" w:w="936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AUC</w:t>
            </w:r>
          </w:p>
        </w:tc>
        <w:tc>
          <w:tcPr>
            <w:tcW w:type="dxa" w:w="936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CV F1</w:t>
            </w:r>
          </w:p>
        </w:tc>
        <w:tc>
          <w:tcPr>
            <w:tcW w:type="dxa" w:w="936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Test F1</w:t>
            </w:r>
          </w:p>
        </w:tc>
        <w:tc>
          <w:tcPr>
            <w:tcW w:type="dxa" w:w="936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AUC</w:t>
            </w:r>
          </w:p>
        </w:tc>
        <w:tc>
          <w:tcPr>
            <w:tcW w:type="dxa" w:w="1152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CV F1</w:t>
            </w:r>
          </w:p>
        </w:tc>
        <w:tc>
          <w:tcPr>
            <w:tcW w:type="dxa" w:w="1296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Test F1</w:t>
            </w:r>
          </w:p>
        </w:tc>
        <w:tc>
          <w:tcPr>
            <w:tcW w:type="dxa" w:w="936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AUC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Logistic Regression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0.7267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0.7341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0.8032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0.5461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0.4708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0.7160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0.3458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0.3601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0.6556</w:t>
            </w:r>
          </w:p>
        </w:tc>
      </w:tr>
      <w:tr>
        <w:tc>
          <w:tcPr>
            <w:tcW w:type="dxa" w:w="2592"/>
            <w:vAlign w:val="center"/>
            <w:shd w:val="clear" w:color="auto" w:fill="DCE6F1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Random Forest ★</w:t>
            </w:r>
          </w:p>
        </w:tc>
        <w:tc>
          <w:tcPr>
            <w:tcW w:type="dxa" w:w="936"/>
            <w:vAlign w:val="center"/>
            <w:shd w:val="clear" w:color="auto" w:fill="DCE6F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0.7459</w:t>
            </w:r>
          </w:p>
        </w:tc>
        <w:tc>
          <w:tcPr>
            <w:tcW w:type="dxa" w:w="936"/>
            <w:vAlign w:val="center"/>
            <w:shd w:val="clear" w:color="auto" w:fill="DCE6F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0.7362</w:t>
            </w:r>
          </w:p>
        </w:tc>
        <w:tc>
          <w:tcPr>
            <w:tcW w:type="dxa" w:w="936"/>
            <w:vAlign w:val="center"/>
            <w:shd w:val="clear" w:color="auto" w:fill="DCE6F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0.8261</w:t>
            </w:r>
          </w:p>
        </w:tc>
        <w:tc>
          <w:tcPr>
            <w:tcW w:type="dxa" w:w="936"/>
            <w:vAlign w:val="center"/>
            <w:shd w:val="clear" w:color="auto" w:fill="DCE6F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0.5828</w:t>
            </w:r>
          </w:p>
        </w:tc>
        <w:tc>
          <w:tcPr>
            <w:tcW w:type="dxa" w:w="936"/>
            <w:vAlign w:val="center"/>
            <w:shd w:val="clear" w:color="auto" w:fill="DCE6F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0.5201</w:t>
            </w:r>
          </w:p>
        </w:tc>
        <w:tc>
          <w:tcPr>
            <w:tcW w:type="dxa" w:w="936"/>
            <w:vAlign w:val="center"/>
            <w:shd w:val="clear" w:color="auto" w:fill="DCE6F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0.7485</w:t>
            </w:r>
          </w:p>
        </w:tc>
        <w:tc>
          <w:tcPr>
            <w:tcW w:type="dxa" w:w="1152"/>
            <w:vAlign w:val="center"/>
            <w:shd w:val="clear" w:color="auto" w:fill="DCE6F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0.3501</w:t>
            </w:r>
          </w:p>
        </w:tc>
        <w:tc>
          <w:tcPr>
            <w:tcW w:type="dxa" w:w="1296"/>
            <w:vAlign w:val="center"/>
            <w:shd w:val="clear" w:color="auto" w:fill="DCE6F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0.3668</w:t>
            </w:r>
          </w:p>
        </w:tc>
        <w:tc>
          <w:tcPr>
            <w:tcW w:type="dxa" w:w="936"/>
            <w:vAlign w:val="center"/>
            <w:shd w:val="clear" w:color="auto" w:fill="DCE6F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0.6931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0.7397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0.7350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0.8248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0.5468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0.4822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0.7309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0.3622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0.3591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0.6732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LightGBM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0.7588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0.7279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0.8186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0.5391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0.4971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0.7234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0.3397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0.3992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0.6770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CatBoost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0.7492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0.7561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0.8170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0.5371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0.5171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0.7498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0.3374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0.3356</w:t>
            </w:r>
          </w:p>
        </w:tc>
        <w:tc>
          <w:tcPr>
            <w:tcW w:type="dxa" w:w="936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0.7029</w:t>
            </w:r>
          </w:p>
        </w:tc>
      </w:tr>
      <w:tr>
        <w:tc>
          <w:tcPr>
            <w:tcW w:type="dxa" w:w="2592"/>
            <w:vAlign w:val="center"/>
            <w:shd w:val="clear" w:color="auto" w:fill="DCE6F1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Lin. Reg. + Threshold ★</w:t>
            </w:r>
          </w:p>
        </w:tc>
        <w:tc>
          <w:tcPr>
            <w:tcW w:type="dxa" w:w="936"/>
            <w:vAlign w:val="center"/>
            <w:shd w:val="clear" w:color="auto" w:fill="DCE6F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—</w:t>
            </w:r>
          </w:p>
        </w:tc>
        <w:tc>
          <w:tcPr>
            <w:tcW w:type="dxa" w:w="936"/>
            <w:vAlign w:val="center"/>
            <w:shd w:val="clear" w:color="auto" w:fill="DCE6F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—</w:t>
            </w:r>
          </w:p>
        </w:tc>
        <w:tc>
          <w:tcPr>
            <w:tcW w:type="dxa" w:w="936"/>
            <w:vAlign w:val="center"/>
            <w:shd w:val="clear" w:color="auto" w:fill="DCE6F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—</w:t>
            </w:r>
          </w:p>
        </w:tc>
        <w:tc>
          <w:tcPr>
            <w:tcW w:type="dxa" w:w="936"/>
            <w:vAlign w:val="center"/>
            <w:shd w:val="clear" w:color="auto" w:fill="DCE6F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—</w:t>
            </w:r>
          </w:p>
        </w:tc>
        <w:tc>
          <w:tcPr>
            <w:tcW w:type="dxa" w:w="936"/>
            <w:vAlign w:val="center"/>
            <w:shd w:val="clear" w:color="auto" w:fill="DCE6F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—</w:t>
            </w:r>
          </w:p>
        </w:tc>
        <w:tc>
          <w:tcPr>
            <w:tcW w:type="dxa" w:w="936"/>
            <w:vAlign w:val="center"/>
            <w:shd w:val="clear" w:color="auto" w:fill="DCE6F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—</w:t>
            </w:r>
          </w:p>
        </w:tc>
        <w:tc>
          <w:tcPr>
            <w:tcW w:type="dxa" w:w="1152"/>
            <w:vAlign w:val="center"/>
            <w:shd w:val="clear" w:color="auto" w:fill="DCE6F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Acc: 0.463</w:t>
            </w:r>
          </w:p>
        </w:tc>
        <w:tc>
          <w:tcPr>
            <w:tcW w:type="dxa" w:w="1296"/>
            <w:vAlign w:val="center"/>
            <w:shd w:val="clear" w:color="auto" w:fill="DCE6F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F1: 0.426</w:t>
              <w:br/>
              <w:t>QWK: 0.602</w:t>
            </w:r>
          </w:p>
        </w:tc>
        <w:tc>
          <w:tcPr>
            <w:tcW w:type="dxa" w:w="936"/>
            <w:vAlign w:val="center"/>
            <w:shd w:val="clear" w:color="auto" w:fill="DCE6F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—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Table 2: Advanced Model Comparison (Stacking Ensemble, Tuned, Deep Learning)</w:t>
      </w:r>
    </w:p>
    <w:p>
      <w:r>
        <w:rPr>
          <w:rFonts w:ascii="Calibri" w:hAnsi="Calibri"/>
          <w:i/>
          <w:color w:val="444444"/>
          <w:sz w:val="18"/>
        </w:rPr>
        <w:t>Stacking Ensemble = meta-model over LR + RF + XGBoost + LightGBM + CatBoost. Tuned = RandomizedSearchCV hyperparameter search. MLP = Multi-Layer Perceptron (deep learning). ⚠ Stacking gives slightly higher F1 but the difference is NOT statistically significant (McNemar p=0.228, Bootstrap p=0.074) and cannot be explained with SHAP.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2592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Model</w:t>
            </w:r>
          </w:p>
        </w:tc>
        <w:tc>
          <w:tcPr>
            <w:tcW w:type="dxa" w:w="936"/>
            <w:gridSpan w:val="3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PPD_binary (Binary)</w:t>
            </w:r>
          </w:p>
        </w:tc>
        <w:tc>
          <w:tcPr>
            <w:tcW w:type="dxa" w:w="936"/>
            <w:gridSpan w:val="3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EPDS Result (3-class)</w:t>
            </w:r>
          </w:p>
        </w:tc>
        <w:tc>
          <w:tcPr>
            <w:tcW w:type="dxa" w:w="936"/>
            <w:gridSpan w:val="3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PHQ9 Result (5-class)</w:t>
            </w:r>
          </w:p>
        </w:tc>
      </w:tr>
      <w:tr>
        <w:tc>
          <w:tcPr>
            <w:tcW w:type="dxa" w:w="2592"/>
            <w:vAlign w:val="center"/>
            <w:shd w:val="clear" w:color="auto" w:fill="D9E1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</w:r>
          </w:p>
        </w:tc>
        <w:tc>
          <w:tcPr>
            <w:tcW w:type="dxa" w:w="936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CV F1</w:t>
            </w:r>
          </w:p>
        </w:tc>
        <w:tc>
          <w:tcPr>
            <w:tcW w:type="dxa" w:w="936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Test F1</w:t>
            </w:r>
          </w:p>
        </w:tc>
        <w:tc>
          <w:tcPr>
            <w:tcW w:type="dxa" w:w="936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AUC</w:t>
            </w:r>
          </w:p>
        </w:tc>
        <w:tc>
          <w:tcPr>
            <w:tcW w:type="dxa" w:w="936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CV F1</w:t>
            </w:r>
          </w:p>
        </w:tc>
        <w:tc>
          <w:tcPr>
            <w:tcW w:type="dxa" w:w="936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Test F1</w:t>
            </w:r>
          </w:p>
        </w:tc>
        <w:tc>
          <w:tcPr>
            <w:tcW w:type="dxa" w:w="936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AUC</w:t>
            </w:r>
          </w:p>
        </w:tc>
        <w:tc>
          <w:tcPr>
            <w:tcW w:type="dxa" w:w="936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CV F1</w:t>
            </w:r>
          </w:p>
        </w:tc>
        <w:tc>
          <w:tcPr>
            <w:tcW w:type="dxa" w:w="936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Test F1</w:t>
            </w:r>
          </w:p>
        </w:tc>
        <w:tc>
          <w:tcPr>
            <w:tcW w:type="dxa" w:w="936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AUC</w:t>
            </w:r>
          </w:p>
        </w:tc>
      </w:tr>
      <w:tr>
        <w:tc>
          <w:tcPr>
            <w:tcW w:type="dxa" w:w="2592"/>
            <w:vAlign w:val="center"/>
            <w:shd w:val="clear" w:color="auto" w:fill="FFF2CC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Stacking Ensemble (Hybrid) ⚠</w:t>
            </w:r>
          </w:p>
        </w:tc>
        <w:tc>
          <w:tcPr>
            <w:tcW w:type="dxa" w:w="936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0.7618</w:t>
            </w:r>
          </w:p>
        </w:tc>
        <w:tc>
          <w:tcPr>
            <w:tcW w:type="dxa" w:w="936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0.7654</w:t>
            </w:r>
          </w:p>
        </w:tc>
        <w:tc>
          <w:tcPr>
            <w:tcW w:type="dxa" w:w="936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0.8089</w:t>
            </w:r>
          </w:p>
        </w:tc>
        <w:tc>
          <w:tcPr>
            <w:tcW w:type="dxa" w:w="936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0.5771</w:t>
            </w:r>
          </w:p>
        </w:tc>
        <w:tc>
          <w:tcPr>
            <w:tcW w:type="dxa" w:w="936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0.5411</w:t>
            </w:r>
          </w:p>
        </w:tc>
        <w:tc>
          <w:tcPr>
            <w:tcW w:type="dxa" w:w="936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0.7604</w:t>
            </w:r>
          </w:p>
        </w:tc>
        <w:tc>
          <w:tcPr>
            <w:tcW w:type="dxa" w:w="936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0.3551</w:t>
            </w:r>
          </w:p>
        </w:tc>
        <w:tc>
          <w:tcPr>
            <w:tcW w:type="dxa" w:w="936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0.3348</w:t>
            </w:r>
          </w:p>
        </w:tc>
        <w:tc>
          <w:tcPr>
            <w:tcW w:type="dxa" w:w="936"/>
            <w:vAlign w:val="center"/>
            <w:shd w:val="clear" w:color="auto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0.7257</w:t>
            </w:r>
          </w:p>
        </w:tc>
      </w:tr>
      <w:tr>
        <w:tc>
          <w:tcPr>
            <w:tcW w:type="dxa" w:w="2592"/>
            <w:vAlign w:val="center"/>
            <w:shd w:val="clear" w:color="auto" w:fill="EDEDED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Random Forest (Tuned)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0.7574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0.7570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0.7929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0.5896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0.5020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0.7491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0.3700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0.3167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0.6999</w:t>
            </w:r>
          </w:p>
        </w:tc>
      </w:tr>
      <w:tr>
        <w:tc>
          <w:tcPr>
            <w:tcW w:type="dxa" w:w="2592"/>
            <w:vAlign w:val="center"/>
            <w:shd w:val="clear" w:color="auto" w:fill="EDEDED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LightGBM (Tuned)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0.7541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0.7193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0.8129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0.5512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0.5058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0.7418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0.3464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0.3796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0.6941</w:t>
            </w:r>
          </w:p>
        </w:tc>
      </w:tr>
      <w:tr>
        <w:tc>
          <w:tcPr>
            <w:tcW w:type="dxa" w:w="2592"/>
            <w:vAlign w:val="center"/>
            <w:shd w:val="clear" w:color="auto" w:fill="EDEDED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XGBoost (Tuned)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0.7424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0.7502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0.8025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0.5430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0.5368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0.7523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0.3527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0.3485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0.6727</w:t>
            </w:r>
          </w:p>
        </w:tc>
      </w:tr>
      <w:tr>
        <w:tc>
          <w:tcPr>
            <w:tcW w:type="dxa" w:w="2592"/>
            <w:vAlign w:val="center"/>
            <w:shd w:val="clear" w:color="auto" w:fill="EDEDED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CatBoost (Tuned)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0.7524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0.7491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0.8124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0.5598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0.5398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0.7633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0.3606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0.3383</w:t>
            </w:r>
          </w:p>
        </w:tc>
        <w:tc>
          <w:tcPr>
            <w:tcW w:type="dxa" w:w="936"/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0.7060</w:t>
            </w:r>
          </w:p>
        </w:tc>
      </w:tr>
      <w:tr>
        <w:tc>
          <w:tcPr>
            <w:tcW w:type="dxa" w:w="2592"/>
            <w:vAlign w:val="center"/>
            <w:shd w:val="clear" w:color="auto" w:fill="F4CCC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MLP — Deep Learning</w:t>
            </w:r>
          </w:p>
        </w:tc>
        <w:tc>
          <w:tcPr>
            <w:tcW w:type="dxa" w:w="936"/>
            <w:vAlign w:val="center"/>
            <w:shd w:val="clear" w:color="auto" w:fill="F4CC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0.7403</w:t>
            </w:r>
          </w:p>
        </w:tc>
        <w:tc>
          <w:tcPr>
            <w:tcW w:type="dxa" w:w="936"/>
            <w:vAlign w:val="center"/>
            <w:shd w:val="clear" w:color="auto" w:fill="F4CC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0.7047</w:t>
            </w:r>
          </w:p>
        </w:tc>
        <w:tc>
          <w:tcPr>
            <w:tcW w:type="dxa" w:w="936"/>
            <w:vAlign w:val="center"/>
            <w:shd w:val="clear" w:color="auto" w:fill="F4CC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0.8043</w:t>
            </w:r>
          </w:p>
        </w:tc>
        <w:tc>
          <w:tcPr>
            <w:tcW w:type="dxa" w:w="936"/>
            <w:vAlign w:val="center"/>
            <w:shd w:val="clear" w:color="auto" w:fill="F4CC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0.4994</w:t>
            </w:r>
          </w:p>
        </w:tc>
        <w:tc>
          <w:tcPr>
            <w:tcW w:type="dxa" w:w="936"/>
            <w:vAlign w:val="center"/>
            <w:shd w:val="clear" w:color="auto" w:fill="F4CC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0.3874</w:t>
            </w:r>
          </w:p>
        </w:tc>
        <w:tc>
          <w:tcPr>
            <w:tcW w:type="dxa" w:w="936"/>
            <w:vAlign w:val="center"/>
            <w:shd w:val="clear" w:color="auto" w:fill="F4CC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0.6446</w:t>
            </w:r>
          </w:p>
        </w:tc>
        <w:tc>
          <w:tcPr>
            <w:tcW w:type="dxa" w:w="936"/>
            <w:vAlign w:val="center"/>
            <w:shd w:val="clear" w:color="auto" w:fill="F4CC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0.3131</w:t>
            </w:r>
          </w:p>
        </w:tc>
        <w:tc>
          <w:tcPr>
            <w:tcW w:type="dxa" w:w="936"/>
            <w:vAlign w:val="center"/>
            <w:shd w:val="clear" w:color="auto" w:fill="F4CC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0.3001</w:t>
            </w:r>
          </w:p>
        </w:tc>
        <w:tc>
          <w:tcPr>
            <w:tcW w:type="dxa" w:w="936"/>
            <w:vAlign w:val="center"/>
            <w:shd w:val="clear" w:color="auto" w:fill="F4CC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0.6181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Table 3: Why Random Forest Over Stacking Ensemble?</w:t>
      </w:r>
    </w:p>
    <w:p>
      <w:r>
        <w:rPr>
          <w:rFonts w:ascii="Calibri" w:hAnsi="Calibri"/>
          <w:i/>
          <w:color w:val="444444"/>
          <w:sz w:val="18"/>
        </w:rPr>
        <w:t>The performance difference between RF and Stacking is statistically non-significant. RF is adopted because it is fully explainable (SHAP) and clinically interpretable. n.s. = not significant.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168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Criterion</w:t>
            </w:r>
          </w:p>
        </w:tc>
        <w:tc>
          <w:tcPr>
            <w:tcW w:type="dxa" w:w="2880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Random Forest (Adopted ★)</w:t>
            </w:r>
          </w:p>
        </w:tc>
        <w:tc>
          <w:tcPr>
            <w:tcW w:type="dxa" w:w="2880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Stacking Ensemble</w:t>
            </w:r>
          </w:p>
        </w:tc>
        <w:tc>
          <w:tcPr>
            <w:tcW w:type="dxa" w:w="1872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Verdict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PPD_binary Test F1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0.7362</w:t>
            </w:r>
          </w:p>
        </w:tc>
        <w:tc>
          <w:tcPr>
            <w:tcW w:type="dxa" w:w="2880"/>
            <w:vAlign w:val="center"/>
            <w:shd w:val="clear" w:color="auto" w:fill="E2EF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0.7654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C00000"/>
                <w:sz w:val="20"/>
              </w:rPr>
              <w:t>Stacking ✔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PPD_binary AUC</w:t>
            </w:r>
          </w:p>
        </w:tc>
        <w:tc>
          <w:tcPr>
            <w:tcW w:type="dxa" w:w="2880"/>
            <w:vAlign w:val="center"/>
            <w:shd w:val="clear" w:color="auto" w:fill="E2EF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0.8261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0.8089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RF ✔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EPDS Result Test F1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0.5201</w:t>
            </w:r>
          </w:p>
        </w:tc>
        <w:tc>
          <w:tcPr>
            <w:tcW w:type="dxa" w:w="2880"/>
            <w:vAlign w:val="center"/>
            <w:shd w:val="clear" w:color="auto" w:fill="E2EF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0.5411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C00000"/>
                <w:sz w:val="20"/>
              </w:rPr>
              <w:t>Stacking ✔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EPDS Result AUC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0.7485</w:t>
            </w:r>
          </w:p>
        </w:tc>
        <w:tc>
          <w:tcPr>
            <w:tcW w:type="dxa" w:w="2880"/>
            <w:vAlign w:val="center"/>
            <w:shd w:val="clear" w:color="auto" w:fill="E2EF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0.7604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C00000"/>
                <w:sz w:val="20"/>
              </w:rPr>
              <w:t>Stacking ✔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McNemar p-value</w:t>
            </w:r>
          </w:p>
        </w:tc>
        <w:tc>
          <w:tcPr>
            <w:tcW w:type="dxa" w:w="2880"/>
            <w:vAlign w:val="center"/>
            <w:shd w:val="clear" w:color="auto" w:fill="E2EF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—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 = 0.228 (n.s.)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RF ✔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Bootstrap p-value</w:t>
            </w:r>
          </w:p>
        </w:tc>
        <w:tc>
          <w:tcPr>
            <w:tcW w:type="dxa" w:w="2880"/>
            <w:vAlign w:val="center"/>
            <w:shd w:val="clear" w:color="auto" w:fill="E2EF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—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 = 0.074 (n.s.)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RF ✔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SHAP Explainability</w:t>
            </w:r>
          </w:p>
        </w:tc>
        <w:tc>
          <w:tcPr>
            <w:tcW w:type="dxa" w:w="2880"/>
            <w:vAlign w:val="center"/>
            <w:shd w:val="clear" w:color="auto" w:fill="E2EF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✔ Full SHAP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✘ Black box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RF ✔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Clinical Interpretability</w:t>
            </w:r>
          </w:p>
        </w:tc>
        <w:tc>
          <w:tcPr>
            <w:tcW w:type="dxa" w:w="2880"/>
            <w:vAlign w:val="center"/>
            <w:shd w:val="clear" w:color="auto" w:fill="E2EF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✔ Feature-level reasons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✘ Cannot explain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RF ✔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Model Complexity</w:t>
            </w:r>
          </w:p>
        </w:tc>
        <w:tc>
          <w:tcPr>
            <w:tcW w:type="dxa" w:w="2880"/>
            <w:vAlign w:val="center"/>
            <w:shd w:val="clear" w:color="auto" w:fill="E2EF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Simple (1 model)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High (6 models)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RF ✔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Adopted?</w:t>
            </w:r>
          </w:p>
        </w:tc>
        <w:tc>
          <w:tcPr>
            <w:tcW w:type="dxa" w:w="2880"/>
            <w:vAlign w:val="center"/>
            <w:shd w:val="clear" w:color="auto" w:fill="E2EF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✔ YES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✘ No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RF ✔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Table 4: Composite Risk Index Reliability</w:t>
      </w:r>
    </w:p>
    <w:p>
      <w:r>
        <w:rPr>
          <w:rFonts w:ascii="Calibri" w:hAnsi="Calibri"/>
          <w:i/>
          <w:color w:val="444444"/>
          <w:sz w:val="18"/>
        </w:rPr>
        <w:t>Four composite indices built from 24 survey features using chi-square weighting. Cronbach α = internal consistency. Max VIF &lt; 1.4 confirms no multicollinearity. All 24/24 association tests significant (p &lt; 0.05).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792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Index</w:t>
            </w:r>
          </w:p>
        </w:tc>
        <w:tc>
          <w:tcPr>
            <w:tcW w:type="dxa" w:w="2736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Full Name</w:t>
            </w:r>
          </w:p>
        </w:tc>
        <w:tc>
          <w:tcPr>
            <w:tcW w:type="dxa" w:w="1152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Cronbach α</w:t>
            </w:r>
          </w:p>
        </w:tc>
        <w:tc>
          <w:tcPr>
            <w:tcW w:type="dxa" w:w="1008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Max VIF</w:t>
            </w:r>
          </w:p>
        </w:tc>
        <w:tc>
          <w:tcPr>
            <w:tcW w:type="dxa" w:w="1224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Sig. Assoc.</w:t>
            </w:r>
          </w:p>
        </w:tc>
        <w:tc>
          <w:tcPr>
            <w:tcW w:type="dxa" w:w="4536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Note</w:t>
            </w:r>
          </w:p>
        </w:tc>
      </w:tr>
      <w:tr>
        <w:tc>
          <w:tcPr>
            <w:tcW w:type="dxa" w:w="79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ESI</w:t>
            </w:r>
          </w:p>
        </w:tc>
        <w:tc>
          <w:tcPr>
            <w:tcW w:type="dxa" w:w="2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Economic Stability Index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0.214</w:t>
            </w:r>
          </w:p>
        </w:tc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1.044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6/6</w:t>
            </w:r>
          </w:p>
        </w:tc>
        <w:tc>
          <w:tcPr>
            <w:tcW w:type="dxa" w:w="45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Items measure different economic stressors</w:t>
            </w:r>
          </w:p>
        </w:tc>
      </w:tr>
      <w:tr>
        <w:tc>
          <w:tcPr>
            <w:tcW w:type="dxa" w:w="79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SSI</w:t>
            </w:r>
          </w:p>
        </w:tc>
        <w:tc>
          <w:tcPr>
            <w:tcW w:type="dxa" w:w="2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Social Support Index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0.456</w:t>
            </w:r>
          </w:p>
        </w:tc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1.324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6/6</w:t>
            </w:r>
          </w:p>
        </w:tc>
        <w:tc>
          <w:tcPr>
            <w:tcW w:type="dxa" w:w="45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Moderate α — breadth of social support</w:t>
            </w:r>
          </w:p>
        </w:tc>
      </w:tr>
      <w:tr>
        <w:tc>
          <w:tcPr>
            <w:tcW w:type="dxa" w:w="79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MHRI</w:t>
            </w:r>
          </w:p>
        </w:tc>
        <w:tc>
          <w:tcPr>
            <w:tcW w:type="dxa" w:w="2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Maternal Mental Health Risk Index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0.298</w:t>
            </w:r>
          </w:p>
        </w:tc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1.337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6/6</w:t>
            </w:r>
          </w:p>
        </w:tc>
        <w:tc>
          <w:tcPr>
            <w:tcW w:type="dxa" w:w="45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Diverse mental health markers</w:t>
            </w:r>
          </w:p>
        </w:tc>
      </w:tr>
      <w:tr>
        <w:tc>
          <w:tcPr>
            <w:tcW w:type="dxa" w:w="79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NSI</w:t>
            </w:r>
          </w:p>
        </w:tc>
        <w:tc>
          <w:tcPr>
            <w:tcW w:type="dxa" w:w="2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Neonatal &amp; Delivery Stress Index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0.343</w:t>
            </w:r>
          </w:p>
        </w:tc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1.014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6/6</w:t>
            </w:r>
          </w:p>
        </w:tc>
        <w:tc>
          <w:tcPr>
            <w:tcW w:type="dxa" w:w="45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Distinct perinatal stressors</w:t>
            </w:r>
          </w:p>
        </w:tc>
      </w:tr>
      <w:tr>
        <w:tc>
          <w:tcPr>
            <w:tcW w:type="dxa" w:w="792"/>
            <w:shd w:val="clear" w:color="auto" w:fill="D9E1F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All 4</w:t>
            </w:r>
          </w:p>
        </w:tc>
        <w:tc>
          <w:tcPr>
            <w:tcW w:type="dxa" w:w="2736"/>
            <w:shd w:val="clear" w:color="auto" w:fill="D9E1F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52"/>
            <w:shd w:val="clear" w:color="auto" w:fill="D9E1F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0.214–0.456</w:t>
            </w:r>
          </w:p>
        </w:tc>
        <w:tc>
          <w:tcPr>
            <w:tcW w:type="dxa" w:w="1008"/>
            <w:shd w:val="clear" w:color="auto" w:fill="D9E1F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&lt; 1.4</w:t>
            </w:r>
          </w:p>
        </w:tc>
        <w:tc>
          <w:tcPr>
            <w:tcW w:type="dxa" w:w="1224"/>
            <w:shd w:val="clear" w:color="auto" w:fill="D9E1F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24 / 24</w:t>
            </w:r>
          </w:p>
        </w:tc>
        <w:tc>
          <w:tcPr>
            <w:tcW w:type="dxa" w:w="4536"/>
            <w:shd w:val="clear" w:color="auto" w:fill="D9E1F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McNemar p=0.228; Bootstrap p=0.074 (RF vs Stacking, both n.s.)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Table 5: Tier 2 — Closing Loop Test (Script 20)</w:t>
      </w:r>
    </w:p>
    <w:p>
      <w:r>
        <w:rPr>
          <w:rFonts w:ascii="Calibri" w:hAnsi="Calibri"/>
          <w:i/>
          <w:color w:val="444444"/>
          <w:sz w:val="18"/>
        </w:rPr>
        <w:t>Tests whether adding interaction features or cluster membership improves performance. Mean CV F1-macro ± std across 5 folds. RESULT: No configuration beats baseline — all deltas are smaller than fold-to-fold std. Baseline model is sufficient.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944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Configuration</w:t>
            </w:r>
          </w:p>
        </w:tc>
        <w:tc>
          <w:tcPr>
            <w:tcW w:type="dxa" w:w="1440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EPDS F1 (mean)</w:t>
            </w:r>
          </w:p>
        </w:tc>
        <w:tc>
          <w:tcPr>
            <w:tcW w:type="dxa" w:w="1152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EPDS F1 (std)</w:t>
            </w:r>
          </w:p>
        </w:tc>
        <w:tc>
          <w:tcPr>
            <w:tcW w:type="dxa" w:w="1584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PPD_binary F1 (mean)</w:t>
            </w:r>
          </w:p>
        </w:tc>
        <w:tc>
          <w:tcPr>
            <w:tcW w:type="dxa" w:w="1152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PPD_binary F1 (std)</w:t>
            </w:r>
          </w:p>
        </w:tc>
        <w:tc>
          <w:tcPr>
            <w:tcW w:type="dxa" w:w="1440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PHQ9 F1 (mean)</w:t>
            </w:r>
          </w:p>
        </w:tc>
        <w:tc>
          <w:tcPr>
            <w:tcW w:type="dxa" w:w="1152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PHQ9 F1 (std)</w:t>
            </w:r>
          </w:p>
        </w:tc>
      </w:tr>
      <w:tr>
        <w:tc>
          <w:tcPr>
            <w:tcW w:type="dxa" w:w="1944"/>
            <w:shd w:val="clear" w:color="auto" w:fill="E2EFDA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Baseline</w:t>
            </w:r>
          </w:p>
        </w:tc>
        <w:tc>
          <w:tcPr>
            <w:tcW w:type="dxa" w:w="1440"/>
            <w:shd w:val="clear" w:color="auto" w:fill="E2EFDA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0.5785</w:t>
            </w:r>
          </w:p>
        </w:tc>
        <w:tc>
          <w:tcPr>
            <w:tcW w:type="dxa" w:w="1152"/>
            <w:shd w:val="clear" w:color="auto" w:fill="E2EFDA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/>
                <w:sz w:val="20"/>
              </w:rPr>
              <w:t>± 0.0349</w:t>
            </w:r>
          </w:p>
        </w:tc>
        <w:tc>
          <w:tcPr>
            <w:tcW w:type="dxa" w:w="1584"/>
            <w:shd w:val="clear" w:color="auto" w:fill="E2EFDA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0.7527</w:t>
            </w:r>
          </w:p>
        </w:tc>
        <w:tc>
          <w:tcPr>
            <w:tcW w:type="dxa" w:w="1152"/>
            <w:shd w:val="clear" w:color="auto" w:fill="E2EFDA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/>
                <w:sz w:val="20"/>
              </w:rPr>
              <w:t>± 0.0272</w:t>
            </w:r>
          </w:p>
        </w:tc>
        <w:tc>
          <w:tcPr>
            <w:tcW w:type="dxa" w:w="1440"/>
            <w:shd w:val="clear" w:color="auto" w:fill="E2EFDA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0.3523</w:t>
            </w:r>
          </w:p>
        </w:tc>
        <w:tc>
          <w:tcPr>
            <w:tcW w:type="dxa" w:w="1152"/>
            <w:shd w:val="clear" w:color="auto" w:fill="E2EFDA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/>
                <w:sz w:val="20"/>
              </w:rPr>
              <w:t>± 0.0438</w:t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+Interactions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0.5726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/>
                <w:sz w:val="20"/>
              </w:rPr>
              <w:t>± 0.0435</w:t>
            </w:r>
          </w:p>
        </w:tc>
        <w:tc>
          <w:tcPr>
            <w:tcW w:type="dxa" w:w="158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0.7557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/>
                <w:sz w:val="20"/>
              </w:rPr>
              <w:t>± 0.0298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0.3340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/>
                <w:sz w:val="20"/>
              </w:rPr>
              <w:t>± 0.0399</w:t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+Cluster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0.5831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/>
                <w:sz w:val="20"/>
              </w:rPr>
              <w:t>± 0.0296</w:t>
            </w:r>
          </w:p>
        </w:tc>
        <w:tc>
          <w:tcPr>
            <w:tcW w:type="dxa" w:w="158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0.7508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/>
                <w:sz w:val="20"/>
              </w:rPr>
              <w:t>± 0.0264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0.3527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/>
                <w:sz w:val="20"/>
              </w:rPr>
              <w:t>± 0.0418</w:t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+Both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0.5813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/>
                <w:sz w:val="20"/>
              </w:rPr>
              <w:t>± 0.0351</w:t>
            </w:r>
          </w:p>
        </w:tc>
        <w:tc>
          <w:tcPr>
            <w:tcW w:type="dxa" w:w="158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0.7597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/>
                <w:sz w:val="20"/>
              </w:rPr>
              <w:t>± 0.0382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0.3337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/>
                <w:sz w:val="20"/>
              </w:rPr>
              <w:t>± 0.0323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Table 6: SHAP Top-10 Features per Target (Random Forest, Arm B)</w:t>
      </w:r>
    </w:p>
    <w:p>
      <w:r>
        <w:rPr>
          <w:rFonts w:ascii="Calibri" w:hAnsi="Calibri"/>
          <w:i/>
          <w:color w:val="444444"/>
          <w:sz w:val="18"/>
        </w:rPr>
        <w:t>Mean absolute SHAP values from TreeExplainer on holdout set. 'Composite' = chi-square-weighted index feature (highlighted green). 'Raw' = individual survey item. Composite indices appear in top-10 for all three targets.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648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Rank</w:t>
            </w:r>
          </w:p>
        </w:tc>
        <w:tc>
          <w:tcPr>
            <w:tcW w:type="dxa" w:w="1872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Target</w:t>
            </w:r>
          </w:p>
        </w:tc>
        <w:tc>
          <w:tcPr>
            <w:tcW w:type="dxa" w:w="6120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Feature</w:t>
            </w:r>
          </w:p>
        </w:tc>
        <w:tc>
          <w:tcPr>
            <w:tcW w:type="dxa" w:w="1224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Mean |SHAP|</w:t>
            </w:r>
          </w:p>
        </w:tc>
        <w:tc>
          <w:tcPr>
            <w:tcW w:type="dxa" w:w="1224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Type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PPD_binary (Binary)</w:t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Angry after latest child birth_Yes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0.0830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Raw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Maternal_MentalHealth_Risk_Index_Weighted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0.0511</w:t>
            </w:r>
          </w:p>
        </w:tc>
        <w:tc>
          <w:tcPr>
            <w:tcW w:type="dxa" w:w="1224"/>
            <w:vAlign w:val="center"/>
            <w:shd w:val="clear" w:color="auto" w:fill="E2EF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Composite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Abuse_Yes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0.0355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Raw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Social_Support_Index_Weighted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0.0334</w:t>
            </w:r>
          </w:p>
        </w:tc>
        <w:tc>
          <w:tcPr>
            <w:tcW w:type="dxa" w:w="1224"/>
            <w:vAlign w:val="center"/>
            <w:shd w:val="clear" w:color="auto" w:fill="E2EF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Composite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Economic_Stability_Index_Weighted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0.0235</w:t>
            </w:r>
          </w:p>
        </w:tc>
        <w:tc>
          <w:tcPr>
            <w:tcW w:type="dxa" w:w="1224"/>
            <w:vAlign w:val="center"/>
            <w:shd w:val="clear" w:color="auto" w:fill="E2EF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Composite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Feeling for regular activities_Not Reported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0.0184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Raw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Neonatal_Delivery_Stress_Index_Weighted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0.0180</w:t>
            </w:r>
          </w:p>
        </w:tc>
        <w:tc>
          <w:tcPr>
            <w:tcW w:type="dxa" w:w="1224"/>
            <w:vAlign w:val="center"/>
            <w:shd w:val="clear" w:color="auto" w:fill="E2EF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Composite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Major changes or losses during pregnancy_Yes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0.0169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Raw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Relax/sleep when newborn is asleep_Yes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0.0159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Raw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Relationship with husband_Good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0.0153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Raw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EPDS Result (3-class)</w:t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Angry after latest child birth_Yes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0.0552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Raw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Maternal_MentalHealth_Risk_Index_Weighted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0.0473</w:t>
            </w:r>
          </w:p>
        </w:tc>
        <w:tc>
          <w:tcPr>
            <w:tcW w:type="dxa" w:w="1224"/>
            <w:vAlign w:val="center"/>
            <w:shd w:val="clear" w:color="auto" w:fill="E2EF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Composite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Social_Support_Index_Weighted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0.0376</w:t>
            </w:r>
          </w:p>
        </w:tc>
        <w:tc>
          <w:tcPr>
            <w:tcW w:type="dxa" w:w="1224"/>
            <w:vAlign w:val="center"/>
            <w:shd w:val="clear" w:color="auto" w:fill="E2EF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Composite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Abuse_Yes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0.0321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Raw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Feeling for regular activities_Not Reported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0.0251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Raw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Economic_Stability_Index_Weighted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0.0207</w:t>
            </w:r>
          </w:p>
        </w:tc>
        <w:tc>
          <w:tcPr>
            <w:tcW w:type="dxa" w:w="1224"/>
            <w:vAlign w:val="center"/>
            <w:shd w:val="clear" w:color="auto" w:fill="E2EF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Composite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Need for Support_Not Reported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0.0199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Raw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Neonatal_Delivery_Stress_Index_Weighted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0.0162</w:t>
            </w:r>
          </w:p>
        </w:tc>
        <w:tc>
          <w:tcPr>
            <w:tcW w:type="dxa" w:w="1224"/>
            <w:vAlign w:val="center"/>
            <w:shd w:val="clear" w:color="auto" w:fill="E2EF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Composite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Relax/sleep when newborn is asleep_Yes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0.0144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Raw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Major changes or losses during pregnancy_Yes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0.0142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Raw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PHQ9 Result (5-class)</w:t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Social_Support_Index_Weighted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0.0338</w:t>
            </w:r>
          </w:p>
        </w:tc>
        <w:tc>
          <w:tcPr>
            <w:tcW w:type="dxa" w:w="1224"/>
            <w:vAlign w:val="center"/>
            <w:shd w:val="clear" w:color="auto" w:fill="E2EF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Composite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Angry after latest child birth_Yes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0.0332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Raw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Maternal_MentalHealth_Risk_Index_Weighted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0.0275</w:t>
            </w:r>
          </w:p>
        </w:tc>
        <w:tc>
          <w:tcPr>
            <w:tcW w:type="dxa" w:w="1224"/>
            <w:vAlign w:val="center"/>
            <w:shd w:val="clear" w:color="auto" w:fill="E2EF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Composite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Abuse_Yes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0.0204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Raw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Relationship with the in-laws_Good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0.0127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Raw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Major changes or losses during pregnancy_Yes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0.0120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Raw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Relax/sleep when the newborn is asleep_Yes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0.0107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Raw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Neonatal_Delivery_Stress_Index_Weighted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0.0104</w:t>
            </w:r>
          </w:p>
        </w:tc>
        <w:tc>
          <w:tcPr>
            <w:tcW w:type="dxa" w:w="1224"/>
            <w:vAlign w:val="center"/>
            <w:shd w:val="clear" w:color="auto" w:fill="E2EFD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F7034"/>
                <w:sz w:val="20"/>
              </w:rPr>
              <w:t>Composite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Trust and share feelings_Yes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0.0104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Raw</w:t>
            </w:r>
          </w:p>
        </w:tc>
      </w:tr>
      <w:tr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Depression during pregnancy (PHQ2)_Positive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0.0093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Raw</w:t>
            </w:r>
          </w:p>
        </w:tc>
      </w:tr>
    </w:tbl>
    <w:p/>
    <w:p>
      <w:r>
        <w:rPr>
          <w:sz w:val="16"/>
        </w:rPr>
        <w:t>Generated: 2026-07-31  |  Total tables: 6  |  Framework: Leakage-Free PPD Prediction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