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 на дашборды: управленческий и маркетинговый</w:t>
      </w:r>
    </w:p>
    <w:p>
      <w:pPr/>
      <w:r>
        <w:t xml:space="preserve">Oct 29, 2026</w:t>
      </w:r>
      <w:r>
        <w:t xml:space="preserve"> · </w:t>
      </w:r>
      <w:r>
        <w:t xml:space="preserve">@MARIIA</w:t>
      </w:r>
    </w:p>
    <w:p>
      <w:pPr>
        <w:pStyle w:val="Heading2"/>
      </w:pPr>
      <w:r>
        <w:t xml:space="preserve">Цель и общие правила</w:t>
      </w:r>
    </w:p>
    <w:p>
      <w:pPr/>
      <w:r>
        <w:t xml:space="preserve">Нужно собрать два веб-дашборда для сети филиалов, которая оказывает услуги по записи на временные слоты: </w:t>
      </w:r>
      <w:r>
        <w:rPr>
          <w:b/>
        </w:rPr>
        <w:t xml:space="preserve">управленческий</w:t>
      </w:r>
      <w:r>
        <w:t xml:space="preserve"> (деньги, загрузка, филиалы) и </w:t>
      </w:r>
      <w:r>
        <w:rPr>
          <w:b/>
        </w:rPr>
        <w:t xml:space="preserve">маркетинговый</w:t>
      </w:r>
      <w:r>
        <w:t xml:space="preserve"> (лиды, каналы, воронка). Образцы внешнего вида приложены картинками; этот документ описывает, что считать и как показывать.</w:t>
      </w:r>
    </w:p>
    <w:p>
      <w:pPr/>
      <w:r>
        <w:rPr>
          <w:b/>
        </w:rPr>
        <w:t xml:space="preserve">Кто смотрит:</w:t>
      </w:r>
      <w:r>
        <w:t xml:space="preserve"> собственник и операционный директор — управленческий дашборд; директор по маркетингу и руководитель колл-центра — маркетинговый. Решения, которые они принимают: какой филиал отстаёт от плана, где простаивают мощности, какой канал продвижения урезать или масштабировать.</w:t>
      </w:r>
    </w:p>
    <w:p>
      <w:pPr/>
      <w:r>
        <w:rPr>
          <w:b/>
        </w:rPr>
        <w:t xml:space="preserve">Общие элементы для обоих экранов: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07"/>
        <w:gridCol w:w="6052"/>
      </w:tblGrid>
      <w:tr>
        <w:trPr>
          <w:tblHeader/>
        </w:trPr>
        <w:tc>
          <w:tcPr>
            <w:tcW w:w="3307" w:type="dxa"/>
            <w:shd w:val="clear" w:color="auto" w:fill="F2F2F2"/>
          </w:tcPr>
          <w:p>
            <w:pPr/>
            <w:r>
              <w:t xml:space="preserve">Элемент</w:t>
            </w:r>
          </w:p>
        </w:tc>
        <w:tc>
          <w:tcPr>
            <w:tcW w:w="6052" w:type="dxa"/>
            <w:shd w:val="clear" w:color="auto" w:fill="F2F2F2"/>
          </w:tcPr>
          <w:p>
            <w:pPr/>
            <w:r>
              <w:t xml:space="preserve">Как работает</w:t>
            </w:r>
          </w:p>
        </w:tc>
      </w:tr>
      <w:tr>
        <w:tc>
          <w:tcPr>
            <w:tcW w:w="3307" w:type="dxa"/>
          </w:tcPr>
          <w:p>
            <w:pPr/>
            <w:r>
              <w:t xml:space="preserve">Фильтр «Период»</w:t>
            </w:r>
          </w:p>
        </w:tc>
        <w:tc>
          <w:tcPr>
            <w:tcW w:w="6052" w:type="dxa"/>
          </w:tcPr>
          <w:p>
            <w:pPr/>
            <w:r>
              <w:t xml:space="preserve">Месяц, квартал, с начала года, произвольный диапазон. По умолчанию — с начала года по вчера</w:t>
            </w:r>
          </w:p>
        </w:tc>
      </w:tr>
      <w:tr>
        <w:tc>
          <w:tcPr>
            <w:tcW w:w="3307" w:type="dxa"/>
          </w:tcPr>
          <w:p>
            <w:pPr/>
            <w:r>
              <w:t xml:space="preserve">Фильтр «Филиалы»</w:t>
            </w:r>
          </w:p>
        </w:tc>
        <w:tc>
          <w:tcPr>
            <w:tcW w:w="6052" w:type="dxa"/>
          </w:tcPr>
          <w:p>
            <w:pPr/>
            <w:r>
              <w:t xml:space="preserve">Мультивыбор, по умолчанию все. Влияет на все виджеты экрана</w:t>
            </w:r>
          </w:p>
        </w:tc>
      </w:tr>
      <w:tr>
        <w:tc>
          <w:tcPr>
            <w:tcW w:w="3307" w:type="dxa"/>
          </w:tcPr>
          <w:p>
            <w:pPr/>
            <w:r>
              <w:t xml:space="preserve">Сравнение</w:t>
            </w:r>
          </w:p>
        </w:tc>
        <w:tc>
          <w:tcPr>
            <w:tcW w:w="6052" w:type="dxa"/>
          </w:tcPr>
          <w:p>
            <w:pPr/>
            <w:r>
              <w:t xml:space="preserve">С тем же периодом прошлого года (по умолчанию) или с планом. Определяет дельты в карточках KPI</w:t>
            </w:r>
          </w:p>
        </w:tc>
      </w:tr>
      <w:tr>
        <w:tc>
          <w:tcPr>
            <w:tcW w:w="3307" w:type="dxa"/>
          </w:tcPr>
          <w:p>
            <w:pPr/>
            <w:r>
              <w:t xml:space="preserve">Обновление</w:t>
            </w:r>
          </w:p>
        </w:tc>
        <w:tc>
          <w:tcPr>
            <w:tcW w:w="6052" w:type="dxa"/>
          </w:tcPr>
          <w:p>
            <w:pPr/>
            <w:r>
              <w:t xml:space="preserve">Раз в сутки ночью; дата и время последнего обновления видны в шапке</w:t>
            </w:r>
          </w:p>
        </w:tc>
      </w:tr>
      <w:tr>
        <w:tc>
          <w:tcPr>
            <w:tcW w:w="3307" w:type="dxa"/>
          </w:tcPr>
          <w:p>
            <w:pPr/>
            <w:r>
              <w:t xml:space="preserve">Валюта и формат</w:t>
            </w:r>
          </w:p>
        </w:tc>
        <w:tc>
          <w:tcPr>
            <w:tcW w:w="6052" w:type="dxa"/>
          </w:tcPr>
          <w:p>
            <w:pPr/>
            <w:r>
              <w:t xml:space="preserve">Рубли; крупные суммы в млн ₽ с одним знаком после запятой; пробел как разделитель тысяч</w:t>
            </w:r>
          </w:p>
        </w:tc>
      </w:tr>
      <w:tr>
        <w:tc>
          <w:tcPr>
            <w:tcW w:w="3307" w:type="dxa"/>
          </w:tcPr>
          <w:p>
            <w:pPr/>
            <w:r>
              <w:t xml:space="preserve">Дельты</w:t>
            </w:r>
          </w:p>
        </w:tc>
        <w:tc>
          <w:tcPr>
            <w:tcW w:w="6052" w:type="dxa"/>
          </w:tcPr>
          <w:p>
            <w:pPr/>
            <w:r>
              <w:t xml:space="preserve">Зелёный — изменение в хорошую сторону, красный — в плохую. Для «плохих» показателей (отмены, CPL, CAC) снижение — зелёное</w:t>
            </w:r>
          </w:p>
        </w:tc>
      </w:tr>
    </w:tbl>
    <w:p>
      <w:pPr/>
      <w:r>
        <w:t xml:space="preserve">Каждая карточка KPI содержит: название, значение за период, дельту к сравнению и мини-график (спарклайн) по месяцам периода.</w:t>
      </w:r>
    </w:p>
    <w:p>
      <w:pPr>
        <w:pStyle w:val="Heading2"/>
      </w:pPr>
      <w:r>
        <w:t xml:space="preserve">Справочник показателей</w:t>
      </w:r>
    </w:p>
    <w:p>
      <w:pPr/>
      <w:r>
        <w:t xml:space="preserve">Все показатели считаются по дате оказания услуги (для выручки и загрузки) или по дате создания заявки (для маркетинга). Возвраты вычитаются из выручки в месяце возврата.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54"/>
        <w:gridCol w:w="2249"/>
        <w:gridCol w:w="3195"/>
        <w:gridCol w:w="2262"/>
      </w:tblGrid>
      <w:tr>
        <w:trPr>
          <w:tblHeader/>
        </w:trPr>
        <w:tc>
          <w:tcPr>
            <w:tcW w:w="1654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2249" w:type="dxa"/>
            <w:shd w:val="clear" w:color="auto" w:fill="F2F2F2"/>
          </w:tcPr>
          <w:p>
            <w:pPr/>
            <w:r>
              <w:t xml:space="preserve">Что это</w:t>
            </w:r>
          </w:p>
        </w:tc>
        <w:tc>
          <w:tcPr>
            <w:tcW w:w="3195" w:type="dxa"/>
            <w:shd w:val="clear" w:color="auto" w:fill="F2F2F2"/>
          </w:tcPr>
          <w:p>
            <w:pPr/>
            <w:r>
              <w:t xml:space="preserve">Как считать</w:t>
            </w:r>
          </w:p>
        </w:tc>
        <w:tc>
          <w:tcPr>
            <w:tcW w:w="2262" w:type="dxa"/>
            <w:shd w:val="clear" w:color="auto" w:fill="F2F2F2"/>
          </w:tcPr>
          <w:p>
            <w:pPr/>
            <w:r>
              <w:t xml:space="preserve">Хорошо, когда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Выручка</w:t>
            </w:r>
          </w:p>
        </w:tc>
        <w:tc>
          <w:tcPr>
            <w:tcW w:w="2249" w:type="dxa"/>
          </w:tcPr>
          <w:p>
            <w:pPr/>
            <w:r>
              <w:t xml:space="preserve">Деньги за оказанные услуги</w:t>
            </w:r>
          </w:p>
        </w:tc>
        <w:tc>
          <w:tcPr>
            <w:tcW w:w="3195" w:type="dxa"/>
          </w:tcPr>
          <w:p>
            <w:pPr/>
            <w:r>
              <w:t xml:space="preserve">Сумма оплат за оказанные услуги − возвраты</w:t>
            </w:r>
          </w:p>
        </w:tc>
        <w:tc>
          <w:tcPr>
            <w:tcW w:w="2262" w:type="dxa"/>
          </w:tcPr>
          <w:p>
            <w:pPr/>
            <w:r>
              <w:t xml:space="preserve">Растёт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Оказано услуг</w:t>
            </w:r>
          </w:p>
        </w:tc>
        <w:tc>
          <w:tcPr>
            <w:tcW w:w="2249" w:type="dxa"/>
          </w:tcPr>
          <w:p>
            <w:pPr/>
            <w:r>
              <w:t xml:space="preserve">Число фактически состоявшихся визитов</w:t>
            </w:r>
          </w:p>
        </w:tc>
        <w:tc>
          <w:tcPr>
            <w:tcW w:w="3195" w:type="dxa"/>
          </w:tcPr>
          <w:p>
            <w:pPr/>
            <w:r>
              <w:t xml:space="preserve">Количество записей со статусом «Состоялась»</w:t>
            </w:r>
          </w:p>
        </w:tc>
        <w:tc>
          <w:tcPr>
            <w:tcW w:w="2262" w:type="dxa"/>
          </w:tcPr>
          <w:p>
            <w:pPr/>
            <w:r>
              <w:t xml:space="preserve">Растёт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Средний чек</w:t>
            </w:r>
          </w:p>
        </w:tc>
        <w:tc>
          <w:tcPr>
            <w:tcW w:w="2249" w:type="dxa"/>
          </w:tcPr>
          <w:p>
            <w:pPr/>
            <w:r>
              <w:t xml:space="preserve">Сколько в среднем платит клиент за визит</w:t>
            </w:r>
          </w:p>
        </w:tc>
        <w:tc>
          <w:tcPr>
            <w:tcW w:w="3195" w:type="dxa"/>
          </w:tcPr>
          <w:p>
            <w:pPr/>
            <w:r>
              <w:t xml:space="preserve">Выручка ÷ Оказано услуг</w:t>
            </w:r>
          </w:p>
        </w:tc>
        <w:tc>
          <w:tcPr>
            <w:tcW w:w="2262" w:type="dxa"/>
          </w:tcPr>
          <w:p>
            <w:pPr/>
            <w:r>
              <w:t xml:space="preserve">Растёт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Загрузка мощностей</w:t>
            </w:r>
          </w:p>
        </w:tc>
        <w:tc>
          <w:tcPr>
            <w:tcW w:w="2249" w:type="dxa"/>
          </w:tcPr>
          <w:p>
            <w:pPr/>
            <w:r>
              <w:t xml:space="preserve">Доля занятого рабочего времени ресурсов (кабинеты, оборудование, специалисты)</w:t>
            </w:r>
          </w:p>
        </w:tc>
        <w:tc>
          <w:tcPr>
            <w:tcW w:w="3195" w:type="dxa"/>
          </w:tcPr>
          <w:p>
            <w:pPr/>
            <w:r>
              <w:t xml:space="preserve">Занятые слоты ÷ Доступные слоты × 100%. Доступные = по расписанию, без плановых простоев</w:t>
            </w:r>
          </w:p>
        </w:tc>
        <w:tc>
          <w:tcPr>
            <w:tcW w:w="2262" w:type="dxa"/>
          </w:tcPr>
          <w:p>
            <w:pPr/>
            <w:r>
              <w:t xml:space="preserve">Растёт; цель 85%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Отмены и неявки</w:t>
            </w:r>
          </w:p>
        </w:tc>
        <w:tc>
          <w:tcPr>
            <w:tcW w:w="2249" w:type="dxa"/>
          </w:tcPr>
          <w:p>
            <w:pPr/>
            <w:r>
              <w:t xml:space="preserve">Доля записей, которые не состоялись</w:t>
            </w:r>
          </w:p>
        </w:tc>
        <w:tc>
          <w:tcPr>
            <w:tcW w:w="3195" w:type="dxa"/>
          </w:tcPr>
          <w:p>
            <w:pPr/>
            <w:r>
              <w:t xml:space="preserve">(Отменённые + Неявки) ÷ Все записи на период × 100%</w:t>
            </w:r>
          </w:p>
        </w:tc>
        <w:tc>
          <w:tcPr>
            <w:tcW w:w="2262" w:type="dxa"/>
          </w:tcPr>
          <w:p>
            <w:pPr/>
            <w:r>
              <w:t xml:space="preserve">Снижается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Выполнение плана</w:t>
            </w:r>
          </w:p>
        </w:tc>
        <w:tc>
          <w:tcPr>
            <w:tcW w:w="2249" w:type="dxa"/>
          </w:tcPr>
          <w:p>
            <w:pPr/>
            <w:r>
              <w:t xml:space="preserve">Насколько филиал выполнил план по выручке</w:t>
            </w:r>
          </w:p>
        </w:tc>
        <w:tc>
          <w:tcPr>
            <w:tcW w:w="3195" w:type="dxa"/>
          </w:tcPr>
          <w:p>
            <w:pPr/>
            <w:r>
              <w:t xml:space="preserve">Выручка факт ÷ Выручка план × 100%</w:t>
            </w:r>
          </w:p>
        </w:tc>
        <w:tc>
          <w:tcPr>
            <w:tcW w:w="2262" w:type="dxa"/>
          </w:tcPr>
          <w:p>
            <w:pPr/>
            <w:r>
              <w:t xml:space="preserve">≥ 100%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Лиды</w:t>
            </w:r>
          </w:p>
        </w:tc>
        <w:tc>
          <w:tcPr>
            <w:tcW w:w="2249" w:type="dxa"/>
          </w:tcPr>
          <w:p>
            <w:pPr/>
            <w:r>
              <w:t xml:space="preserve">Новые обращения от потенциальных клиентов</w:t>
            </w:r>
          </w:p>
        </w:tc>
        <w:tc>
          <w:tcPr>
            <w:tcW w:w="3195" w:type="dxa"/>
          </w:tcPr>
          <w:p>
            <w:pPr/>
            <w:r>
              <w:t xml:space="preserve">Уникальные заявки (звонок, форма, мессенджер) без дублей одного телефона за 7 дней</w:t>
            </w:r>
          </w:p>
        </w:tc>
        <w:tc>
          <w:tcPr>
            <w:tcW w:w="2262" w:type="dxa"/>
          </w:tcPr>
          <w:p>
            <w:pPr/>
            <w:r>
              <w:t xml:space="preserve">Растёт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Конверсия в запись</w:t>
            </w:r>
          </w:p>
        </w:tc>
        <w:tc>
          <w:tcPr>
            <w:tcW w:w="2249" w:type="dxa"/>
          </w:tcPr>
          <w:p>
            <w:pPr/>
            <w:r>
              <w:t xml:space="preserve">Доля лидов, которые записались</w:t>
            </w:r>
          </w:p>
        </w:tc>
        <w:tc>
          <w:tcPr>
            <w:tcW w:w="3195" w:type="dxa"/>
          </w:tcPr>
          <w:p>
            <w:pPr/>
            <w:r>
              <w:t xml:space="preserve">Лиды с созданной записью ÷ Лиды × 100%</w:t>
            </w:r>
          </w:p>
        </w:tc>
        <w:tc>
          <w:tcPr>
            <w:tcW w:w="2262" w:type="dxa"/>
          </w:tcPr>
          <w:p>
            <w:pPr/>
            <w:r>
              <w:t xml:space="preserve">Растёт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CPL</w:t>
            </w:r>
          </w:p>
        </w:tc>
        <w:tc>
          <w:tcPr>
            <w:tcW w:w="2249" w:type="dxa"/>
          </w:tcPr>
          <w:p>
            <w:pPr/>
            <w:r>
              <w:t xml:space="preserve">Стоимость одного лида</w:t>
            </w:r>
          </w:p>
        </w:tc>
        <w:tc>
          <w:tcPr>
            <w:tcW w:w="3195" w:type="dxa"/>
          </w:tcPr>
          <w:p>
            <w:pPr/>
            <w:r>
              <w:t xml:space="preserve">Маркетинговый бюджет ÷ Лиды</w:t>
            </w:r>
          </w:p>
        </w:tc>
        <w:tc>
          <w:tcPr>
            <w:tcW w:w="2262" w:type="dxa"/>
          </w:tcPr>
          <w:p>
            <w:pPr/>
            <w:r>
              <w:t xml:space="preserve">Снижается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CAC</w:t>
            </w:r>
          </w:p>
        </w:tc>
        <w:tc>
          <w:tcPr>
            <w:tcW w:w="2249" w:type="dxa"/>
          </w:tcPr>
          <w:p>
            <w:pPr/>
            <w:r>
              <w:t xml:space="preserve">Стоимость привлечения клиента, который пришёл</w:t>
            </w:r>
          </w:p>
        </w:tc>
        <w:tc>
          <w:tcPr>
            <w:tcW w:w="3195" w:type="dxa"/>
          </w:tcPr>
          <w:p>
            <w:pPr/>
            <w:r>
              <w:t xml:space="preserve">Маркетинговый бюджет ÷ Новые клиенты со статусом визита «Состоялась»</w:t>
            </w:r>
          </w:p>
        </w:tc>
        <w:tc>
          <w:tcPr>
            <w:tcW w:w="2262" w:type="dxa"/>
          </w:tcPr>
          <w:p>
            <w:pPr/>
            <w:r>
              <w:t xml:space="preserve">Снижается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ROMI</w:t>
            </w:r>
          </w:p>
        </w:tc>
        <w:tc>
          <w:tcPr>
            <w:tcW w:w="2249" w:type="dxa"/>
          </w:tcPr>
          <w:p>
            <w:pPr/>
            <w:r>
              <w:t xml:space="preserve">Окупаемость маркетинга</w:t>
            </w:r>
          </w:p>
        </w:tc>
        <w:tc>
          <w:tcPr>
            <w:tcW w:w="3195" w:type="dxa"/>
          </w:tcPr>
          <w:p>
            <w:pPr/>
            <w:r>
              <w:t xml:space="preserve">(Выручка от новых клиентов канала − Бюджет канала) ÷ Бюджет канала × 100%</w:t>
            </w:r>
          </w:p>
        </w:tc>
        <w:tc>
          <w:tcPr>
            <w:tcW w:w="2262" w:type="dxa"/>
          </w:tcPr>
          <w:p>
            <w:pPr/>
            <w:r>
              <w:t xml:space="preserve">Выше 100%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Повторные клиенты</w:t>
            </w:r>
          </w:p>
        </w:tc>
        <w:tc>
          <w:tcPr>
            <w:tcW w:w="2249" w:type="dxa"/>
          </w:tcPr>
          <w:p>
            <w:pPr/>
            <w:r>
              <w:t xml:space="preserve">Доля пришедших снова</w:t>
            </w:r>
          </w:p>
        </w:tc>
        <w:tc>
          <w:tcPr>
            <w:tcW w:w="3195" w:type="dxa"/>
          </w:tcPr>
          <w:p>
            <w:pPr/>
            <w:r>
              <w:t xml:space="preserve">Клиенты с 2+ визитами за 12 месяцев ÷ Все клиенты с визитом × 100%</w:t>
            </w:r>
          </w:p>
        </w:tc>
        <w:tc>
          <w:tcPr>
            <w:tcW w:w="2262" w:type="dxa"/>
          </w:tcPr>
          <w:p>
            <w:pPr/>
            <w:r>
              <w:t xml:space="preserve">Растёт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Доля онлайн-записи</w:t>
            </w:r>
          </w:p>
        </w:tc>
        <w:tc>
          <w:tcPr>
            <w:tcW w:w="2249" w:type="dxa"/>
          </w:tcPr>
          <w:p>
            <w:pPr/>
            <w:r>
              <w:t xml:space="preserve">Доля записей без участия оператора</w:t>
            </w:r>
          </w:p>
        </w:tc>
        <w:tc>
          <w:tcPr>
            <w:tcW w:w="3195" w:type="dxa"/>
          </w:tcPr>
          <w:p>
            <w:pPr/>
            <w:r>
              <w:t xml:space="preserve">Записи через сайт/виджет ÷ Все новые записи × 100%</w:t>
            </w:r>
          </w:p>
        </w:tc>
        <w:tc>
          <w:tcPr>
            <w:tcW w:w="2262" w:type="dxa"/>
          </w:tcPr>
          <w:p>
            <w:pPr/>
            <w:r>
              <w:t xml:space="preserve">Растёт</w:t>
            </w:r>
          </w:p>
        </w:tc>
      </w:tr>
    </w:tbl>
    <w:p>
      <w:pPr/>
      <w:r>
        <w:t xml:space="preserve">Открытый вопрос к заказчику: ROMI считать по выручке первого визита или за 90 дней жизни клиента. По умолчанию — первый визит.</w:t>
      </w:r>
    </w:p>
    <w:p>
      <w:pPr>
        <w:pStyle w:val="Heading2"/>
      </w:pPr>
      <w:r>
        <w:t xml:space="preserve">Управленческий дашборд «Операционная сводка»</w:t>
      </w:r>
    </w:p>
    <w:p>
      <w:pPr/>
      <w:r>
        <w:t xml:space="preserve">Отвечает на вопрос: выполняем ли план по деньгам и насколько эффективно используем мощности. Экран из трёх рядов, сверху вниз.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182"/>
        <w:gridCol w:w="2529"/>
        <w:gridCol w:w="392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182" w:type="dxa"/>
            <w:shd w:val="clear" w:color="auto" w:fill="F2F2F2"/>
          </w:tcPr>
          <w:p>
            <w:pPr/>
            <w:r>
              <w:t xml:space="preserve">Виджет</w:t>
            </w:r>
          </w:p>
        </w:tc>
        <w:tc>
          <w:tcPr>
            <w:tcW w:w="2529" w:type="dxa"/>
            <w:shd w:val="clear" w:color="auto" w:fill="F2F2F2"/>
          </w:tcPr>
          <w:p>
            <w:pPr/>
            <w:r>
              <w:t xml:space="preserve">Что показывает</w:t>
            </w:r>
          </w:p>
        </w:tc>
        <w:tc>
          <w:tcPr>
            <w:tcW w:w="3929" w:type="dxa"/>
            <w:shd w:val="clear" w:color="auto" w:fill="F2F2F2"/>
          </w:tcPr>
          <w:p>
            <w:pPr/>
            <w:r>
              <w:t xml:space="preserve">Детали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182" w:type="dxa"/>
          </w:tcPr>
          <w:p>
            <w:pPr/>
            <w:r>
              <w:t xml:space="preserve">5 карточек KPI</w:t>
            </w:r>
          </w:p>
        </w:tc>
        <w:tc>
          <w:tcPr>
            <w:tcW w:w="2529" w:type="dxa"/>
          </w:tcPr>
          <w:p>
            <w:pPr/>
            <w:r>
              <w:t xml:space="preserve">Выручка, Оказано услуг, Средний чек, Загрузка мощностей, Отмены и неявки</w:t>
            </w:r>
          </w:p>
        </w:tc>
        <w:tc>
          <w:tcPr>
            <w:tcW w:w="3929" w:type="dxa"/>
          </w:tcPr>
          <w:p>
            <w:pPr/>
            <w:r>
              <w:t xml:space="preserve">Значение, дельта к прошлому году (у загрузки — подпись «цель 85%»), спарклайн по месяцам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182" w:type="dxa"/>
          </w:tcPr>
          <w:p>
            <w:pPr/>
            <w:r>
              <w:t xml:space="preserve">Линейный график «Выручка по месяцам»</w:t>
            </w:r>
          </w:p>
        </w:tc>
        <w:tc>
          <w:tcPr>
            <w:tcW w:w="2529" w:type="dxa"/>
          </w:tcPr>
          <w:p>
            <w:pPr/>
            <w:r>
              <w:t xml:space="preserve">Три линии по 12 месяцам: факт текущего года, факт прошлого года, план текущего года</w:t>
            </w:r>
          </w:p>
        </w:tc>
        <w:tc>
          <w:tcPr>
            <w:tcW w:w="3929" w:type="dxa"/>
          </w:tcPr>
          <w:p>
            <w:pPr/>
            <w:r>
              <w:t xml:space="preserve">Факт — сплошная яркая линия с заливкой и точками; прошлый год — серая; план — пунктир. Будущие месяцы — только план и прошлый год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182" w:type="dxa"/>
          </w:tcPr>
          <w:p>
            <w:pPr/>
            <w:r>
              <w:t xml:space="preserve">Кольцевая диаграмма «Структура выручки»</w:t>
            </w:r>
          </w:p>
        </w:tc>
        <w:tc>
          <w:tcPr>
            <w:tcW w:w="2529" w:type="dxa"/>
          </w:tcPr>
          <w:p>
            <w:pPr/>
            <w:r>
              <w:t xml:space="preserve">Доли выручки по направлениям услуг (5 групп)</w:t>
            </w:r>
          </w:p>
        </w:tc>
        <w:tc>
          <w:tcPr>
            <w:tcW w:w="3929" w:type="dxa"/>
          </w:tcPr>
          <w:p>
            <w:pPr/>
            <w:r>
              <w:t xml:space="preserve">В центре — общая выручка; справа легенда: сумма и % по каждой группе. Внизу строка «Доля пакетов и корп. сегмента» с дельтой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182" w:type="dxa"/>
          </w:tcPr>
          <w:p>
            <w:pPr/>
            <w:r>
              <w:t xml:space="preserve">Горизонтальные столбцы «План / факт по филиалам»</w:t>
            </w:r>
          </w:p>
        </w:tc>
        <w:tc>
          <w:tcPr>
            <w:tcW w:w="2529" w:type="dxa"/>
          </w:tcPr>
          <w:p>
            <w:pPr/>
            <w:r>
              <w:t xml:space="preserve">Выручка каждого филиала за период и вертикальная черта — его план</w:t>
            </w:r>
          </w:p>
        </w:tc>
        <w:tc>
          <w:tcPr>
            <w:tcW w:w="3929" w:type="dxa"/>
          </w:tcPr>
          <w:p>
            <w:pPr/>
            <w:r>
              <w:t xml:space="preserve">Сортировка по выручке. Столбец яркий, если план выполнен, бледный — если нет. Справа % отклонения от плана зелёным/красным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182" w:type="dxa"/>
          </w:tcPr>
          <w:p>
            <w:pPr/>
            <w:r>
              <w:t xml:space="preserve">Тепловая карта «Загрузка по дням и часам»</w:t>
            </w:r>
          </w:p>
        </w:tc>
        <w:tc>
          <w:tcPr>
            <w:tcW w:w="2529" w:type="dxa"/>
          </w:tcPr>
          <w:p>
            <w:pPr/>
            <w:r>
              <w:t xml:space="preserve">Средняя загрузка слотов: строки — дни недели, столбцы — часы работы (8–21)</w:t>
            </w:r>
          </w:p>
        </w:tc>
        <w:tc>
          <w:tcPr>
            <w:tcW w:w="3929" w:type="dxa"/>
          </w:tcPr>
          <w:p>
            <w:pPr/>
            <w:r>
              <w:t xml:space="preserve">Цвет от светлого (30%) к насыщенному (100%). Период — последние 8 недель независимо от фильтра; при наведении — точное значение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182" w:type="dxa"/>
          </w:tcPr>
          <w:p>
            <w:pPr/>
            <w:r>
              <w:t xml:space="preserve">Таблица «Показатели филиалов»</w:t>
            </w:r>
          </w:p>
        </w:tc>
        <w:tc>
          <w:tcPr>
            <w:tcW w:w="2529" w:type="dxa"/>
          </w:tcPr>
          <w:p>
            <w:pPr/>
            <w:r>
              <w:t xml:space="preserve">По каждому филиалу: загрузка, средний чек, % отмен, выполнение плана</w:t>
            </w:r>
          </w:p>
        </w:tc>
        <w:tc>
          <w:tcPr>
            <w:tcW w:w="3929" w:type="dxa"/>
          </w:tcPr>
          <w:p>
            <w:pPr/>
            <w:r>
              <w:t xml:space="preserve">Выполнение плана — цветная плашка: ≥ 100% зелёная, 95–99% жёлтая, &lt; 95% красная</w:t>
            </w:r>
          </w:p>
        </w:tc>
      </w:tr>
    </w:tbl>
    <w:p>
      <w:pPr/>
      <w:r>
        <w:rPr>
          <w:b/>
        </w:rPr>
        <w:t xml:space="preserve">Взаимодействие:</w:t>
      </w:r>
      <w:r>
        <w:t xml:space="preserve"> клик по филиалу в виджетах 4 или 6 применяет фильтр по этому филиалу ко всему экрану; клик по сектору кольца — фильтр по направлению услуг.</w:t>
      </w:r>
    </w:p>
    <w:p>
      <w:pPr/>
      <w:r>
        <w:rPr>
          <w:b/>
        </w:rPr>
        <w:t xml:space="preserve">Справочники, которые нужны:</w:t>
      </w:r>
      <w:r>
        <w:t xml:space="preserve"> список филиалов, группировка услуг по 5 направлениям, план выручки по филиалам помесячно, расписание доступных слотов.</w:t>
      </w:r>
    </w:p>
    <w:p>
      <w:pPr>
        <w:pStyle w:val="Heading2"/>
      </w:pPr>
      <w:r>
        <w:t xml:space="preserve">Маркетинговый дашборд «Маркетинг и продажи»</w:t>
      </w:r>
    </w:p>
    <w:p>
      <w:pPr/>
      <w:r>
        <w:t xml:space="preserve">Отвечает на вопрос: сколько стоит привлечь клиента, какие каналы окупаются и где теряются клиенты по пути к визиту. Дополнительный фильтр в шапке — «Каналы» (мультивыбор) и подпись модели атрибуции «Последний значимый канал».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40"/>
        <w:gridCol w:w="2465"/>
        <w:gridCol w:w="383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Виджет</w:t>
            </w:r>
          </w:p>
        </w:tc>
        <w:tc>
          <w:tcPr>
            <w:tcW w:w="2465" w:type="dxa"/>
            <w:shd w:val="clear" w:color="auto" w:fill="F2F2F2"/>
          </w:tcPr>
          <w:p>
            <w:pPr/>
            <w:r>
              <w:t xml:space="preserve">Что показывает</w:t>
            </w:r>
          </w:p>
        </w:tc>
        <w:tc>
          <w:tcPr>
            <w:tcW w:w="3835" w:type="dxa"/>
            <w:shd w:val="clear" w:color="auto" w:fill="F2F2F2"/>
          </w:tcPr>
          <w:p>
            <w:pPr/>
            <w:r>
              <w:t xml:space="preserve">Детали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5 карточек KPI</w:t>
            </w:r>
          </w:p>
        </w:tc>
        <w:tc>
          <w:tcPr>
            <w:tcW w:w="2465" w:type="dxa"/>
          </w:tcPr>
          <w:p>
            <w:pPr/>
            <w:r>
              <w:t xml:space="preserve">Лиды, Конверсия в запись, CPL, CAC, ROMI</w:t>
            </w:r>
          </w:p>
        </w:tc>
        <w:tc>
          <w:tcPr>
            <w:tcW w:w="3835" w:type="dxa"/>
          </w:tcPr>
          <w:p>
            <w:pPr/>
            <w:r>
              <w:t xml:space="preserve">Как на управленческом экране. Для CPL и CAC снижение подсвечивается зелёным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Воронка привлечения</w:t>
            </w:r>
          </w:p>
        </w:tc>
        <w:tc>
          <w:tcPr>
            <w:tcW w:w="2465" w:type="dxa"/>
          </w:tcPr>
          <w:p>
            <w:pPr/>
            <w:r>
              <w:t xml:space="preserve">5 этапов: Визиты на сайт и карты → Лиды → Записи → Состоялись → Повторные</w:t>
            </w:r>
          </w:p>
        </w:tc>
        <w:tc>
          <w:tcPr>
            <w:tcW w:w="3835" w:type="dxa"/>
          </w:tcPr>
          <w:p>
            <w:pPr/>
            <w:r>
              <w:t xml:space="preserve">Ступени сужаются; внутри — название и количество, справа — конверсия из предыдущего этапа в %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Комбинированный график «Лиды по неделям и CPL»</w:t>
            </w:r>
          </w:p>
        </w:tc>
        <w:tc>
          <w:tcPr>
            <w:tcW w:w="2465" w:type="dxa"/>
          </w:tcPr>
          <w:p>
            <w:pPr/>
            <w:r>
              <w:t xml:space="preserve">Столбцы — число лидов за неделю; линия — CPL за неделю</w:t>
            </w:r>
          </w:p>
        </w:tc>
        <w:tc>
          <w:tcPr>
            <w:tcW w:w="3835" w:type="dxa"/>
          </w:tcPr>
          <w:p>
            <w:pPr/>
            <w:r>
              <w:t xml:space="preserve">Последние 16 недель, две оси: слева лиды, справа CPL в ₽. Подпись недели — дата понедельника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Таблица «Эффективность каналов»</w:t>
            </w:r>
          </w:p>
        </w:tc>
        <w:tc>
          <w:tcPr>
            <w:tcW w:w="2465" w:type="dxa"/>
          </w:tcPr>
          <w:p>
            <w:pPr/>
            <w:r>
              <w:t xml:space="preserve">По каждому каналу: бюджет, лиды, CPL, конверсия в запись, ROMI</w:t>
            </w:r>
          </w:p>
        </w:tc>
        <w:tc>
          <w:tcPr>
            <w:tcW w:w="3835" w:type="dxa"/>
          </w:tcPr>
          <w:p>
            <w:pPr/>
            <w:r>
              <w:t xml:space="preserve">ROMI — число + горизонтальная полоска: ≥ 300% синяя, 200–299% светло-синяя, &lt; 200% оранжевая. Последняя строка — итого. Сортировка по любому столбцу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Столбцы с накоплением «Источники записи»</w:t>
            </w:r>
          </w:p>
        </w:tc>
        <w:tc>
          <w:tcPr>
            <w:tcW w:w="2465" w:type="dxa"/>
          </w:tcPr>
          <w:p>
            <w:pPr/>
            <w:r>
              <w:t xml:space="preserve">Новые записи по месяцам с разбивкой: онлайн, мессенджеры, телефон</w:t>
            </w:r>
          </w:p>
        </w:tc>
        <w:tc>
          <w:tcPr>
            <w:tcW w:w="3835" w:type="dxa"/>
          </w:tcPr>
          <w:p>
            <w:pPr/>
            <w:r>
              <w:t xml:space="preserve">Последние 6 месяцев. Внизу строка «Доля онлайн-записи в последнем месяце» с изменением в п.п.</w:t>
            </w:r>
          </w:p>
        </w:tc>
      </w:tr>
    </w:tbl>
    <w:p>
      <w:pPr/>
      <w:r>
        <w:rPr>
          <w:b/>
        </w:rPr>
        <w:t xml:space="preserve">Каналы (справочник):</w:t>
      </w:r>
      <w:r>
        <w:t xml:space="preserve"> контекстная реклама, SEO и контент, карты и агрегаторы, соцсети, партнёрские программы, email и CRM-рассылки. Каждой заявке присваивается ровно один канал.</w:t>
      </w:r>
    </w:p>
    <w:p>
      <w:pPr/>
      <w:r>
        <w:rPr>
          <w:b/>
        </w:rPr>
        <w:t xml:space="preserve">Взаимодействие:</w:t>
      </w:r>
      <w:r>
        <w:t xml:space="preserve"> клик по каналу в таблице фильтрует весь экран по этому каналу; клик по этапу воронки открывает список заявок этого этапа (по желанию, вторая очередь).</w:t>
      </w:r>
    </w:p>
    <w:p>
      <w:pPr>
        <w:pStyle w:val="Heading2"/>
      </w:pPr>
      <w:r>
        <w:t xml:space="preserve">Источники данных и обязательные поля</w:t>
      </w:r>
    </w:p>
    <w:p>
      <w:pPr/>
      <w:r>
        <w:t xml:space="preserve">Дашбордам нужны шесть наборов данных. На первом этапе их можно выгружать в таблицы (CSV или Google Sheets), позже — подключать к системам напрямую.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41"/>
        <w:gridCol w:w="1985"/>
        <w:gridCol w:w="4434"/>
      </w:tblGrid>
      <w:tr>
        <w:trPr>
          <w:tblHeader/>
        </w:trPr>
        <w:tc>
          <w:tcPr>
            <w:tcW w:w="2941" w:type="dxa"/>
            <w:shd w:val="clear" w:color="auto" w:fill="F2F2F2"/>
          </w:tcPr>
          <w:p>
            <w:pPr/>
            <w:r>
              <w:t xml:space="preserve">Набор данных</w:t>
            </w:r>
          </w:p>
        </w:tc>
        <w:tc>
          <w:tcPr>
            <w:tcW w:w="1985" w:type="dxa"/>
            <w:shd w:val="clear" w:color="auto" w:fill="F2F2F2"/>
          </w:tcPr>
          <w:p>
            <w:pPr/>
            <w:r>
              <w:t xml:space="preserve">Откуда берётся</w:t>
            </w:r>
          </w:p>
        </w:tc>
        <w:tc>
          <w:tcPr>
            <w:tcW w:w="4434" w:type="dxa"/>
            <w:shd w:val="clear" w:color="auto" w:fill="F2F2F2"/>
          </w:tcPr>
          <w:p>
            <w:pPr/>
            <w:r>
              <w:t xml:space="preserve">Обязательные поля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Записи и визиты</w:t>
            </w:r>
          </w:p>
        </w:tc>
        <w:tc>
          <w:tcPr>
            <w:tcW w:w="1985" w:type="dxa"/>
          </w:tcPr>
          <w:p>
            <w:pPr/>
            <w:r>
              <w:t xml:space="preserve">Учётная система / CRM</w:t>
            </w:r>
          </w:p>
        </w:tc>
        <w:tc>
          <w:tcPr>
            <w:tcW w:w="4434" w:type="dxa"/>
          </w:tcPr>
          <w:p>
            <w:pPr/>
            <w:r>
              <w:t xml:space="preserve">ID записи, ID клиента, филиал, услуга, направление услуги, дата и время слота, дата создания записи, статус (Состоялась / Отменена / Неявка), сумма оплаты, способ записи (онлайн / мессенджер / телефон)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Расписание слотов</w:t>
            </w:r>
          </w:p>
        </w:tc>
        <w:tc>
          <w:tcPr>
            <w:tcW w:w="1985" w:type="dxa"/>
          </w:tcPr>
          <w:p>
            <w:pPr/>
            <w:r>
              <w:t xml:space="preserve">Учётная система</w:t>
            </w:r>
          </w:p>
        </w:tc>
        <w:tc>
          <w:tcPr>
            <w:tcW w:w="4434" w:type="dxa"/>
          </w:tcPr>
          <w:p>
            <w:pPr/>
            <w:r>
              <w:t xml:space="preserve">Филиал, ресурс (кабинет, оборудование, специалист), дата, час, слот доступен (да/нет)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Заявки (лиды)</w:t>
            </w:r>
          </w:p>
        </w:tc>
        <w:tc>
          <w:tcPr>
            <w:tcW w:w="1985" w:type="dxa"/>
          </w:tcPr>
          <w:p>
            <w:pPr/>
            <w:r>
              <w:t xml:space="preserve">Коллтрекинг, формы сайта, мессенджеры, CRM</w:t>
            </w:r>
          </w:p>
        </w:tc>
        <w:tc>
          <w:tcPr>
            <w:tcW w:w="4434" w:type="dxa"/>
          </w:tcPr>
          <w:p>
            <w:pPr/>
            <w:r>
              <w:t xml:space="preserve">ID заявки, дата и время, телефон клиента, канал, рекламная кампания, ID созданной записи (если есть)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Расходы на маркетинг</w:t>
            </w:r>
          </w:p>
        </w:tc>
        <w:tc>
          <w:tcPr>
            <w:tcW w:w="1985" w:type="dxa"/>
          </w:tcPr>
          <w:p>
            <w:pPr/>
            <w:r>
              <w:t xml:space="preserve">Рекламные кабинеты, бухгалтерия</w:t>
            </w:r>
          </w:p>
        </w:tc>
        <w:tc>
          <w:tcPr>
            <w:tcW w:w="4434" w:type="dxa"/>
          </w:tcPr>
          <w:p>
            <w:pPr/>
            <w:r>
              <w:t xml:space="preserve">Дата (день или месяц), канал, кампания, сумма в ₽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Планы</w:t>
            </w:r>
          </w:p>
        </w:tc>
        <w:tc>
          <w:tcPr>
            <w:tcW w:w="1985" w:type="dxa"/>
          </w:tcPr>
          <w:p>
            <w:pPr/>
            <w:r>
              <w:t xml:space="preserve">Финансовый отдел</w:t>
            </w:r>
          </w:p>
        </w:tc>
        <w:tc>
          <w:tcPr>
            <w:tcW w:w="4434" w:type="dxa"/>
          </w:tcPr>
          <w:p>
            <w:pPr/>
            <w:r>
              <w:t xml:space="preserve">Филиал, месяц, план выручки в ₽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Веб-аналитика</w:t>
            </w:r>
          </w:p>
        </w:tc>
        <w:tc>
          <w:tcPr>
            <w:tcW w:w="1985" w:type="dxa"/>
          </w:tcPr>
          <w:p>
            <w:pPr/>
            <w:r>
              <w:t xml:space="preserve">Счётчик сайта, кабинеты карт</w:t>
            </w:r>
          </w:p>
        </w:tc>
        <w:tc>
          <w:tcPr>
            <w:tcW w:w="4434" w:type="dxa"/>
          </w:tcPr>
          <w:p>
            <w:pPr/>
            <w:r>
              <w:t xml:space="preserve">Дата, канал, число визитов</w:t>
            </w:r>
          </w:p>
        </w:tc>
      </w:tr>
    </w:tbl>
    <w:p>
      <w:pPr/>
      <w:r>
        <w:t xml:space="preserve">Связка лида с визитом — по номеру телефона или ID клиента. Без этой связки CAC, ROMI и воронка не считаются, поэтому её надо проверить первой.</w:t>
      </w:r>
    </w:p>
    <w:p>
      <w:pPr>
        <w:pStyle w:val="Heading2"/>
      </w:pPr>
      <w:r>
        <w:t xml:space="preserve">Критерии приёмки и демо-данные</w:t>
      </w:r>
    </w:p>
    <w:p>
      <w:pPr/>
      <w:r>
        <w:t xml:space="preserve">Дашборд принят, когда цифры на экране сходятся с ручным расчётом по выгрузке за один выбранный месяц.</w:t>
      </w:r>
    </w:p>
    <w:p>
      <w:pPr>
        <w:pStyle w:val="ListParagraph"/>
        <w:numPr>
          <w:ilvl w:val="0"/>
          <w:numId w:val="2"/>
        </w:numPr>
      </w:pPr>
      <w:r>
        <w:t xml:space="preserve">☐ Сумма выручки по филиалам равна общей выручке в карточке KPI</w:t>
      </w:r>
    </w:p>
    <w:p>
      <w:pPr>
        <w:pStyle w:val="ListParagraph"/>
        <w:numPr>
          <w:ilvl w:val="0"/>
          <w:numId w:val="2"/>
        </w:numPr>
      </w:pPr>
      <w:r>
        <w:t xml:space="preserve">☐ Средний чек = Выручка ÷ Оказано услуг (проверка на одном филиале и на всей сети)</w:t>
      </w:r>
    </w:p>
    <w:p>
      <w:pPr>
        <w:pStyle w:val="ListParagraph"/>
        <w:numPr>
          <w:ilvl w:val="0"/>
          <w:numId w:val="2"/>
        </w:numPr>
      </w:pPr>
      <w:r>
        <w:t xml:space="preserve">☐ Сумма лидов и бюджетов по каналам равна итоговой строке таблицы</w:t>
      </w:r>
    </w:p>
    <w:p>
      <w:pPr>
        <w:pStyle w:val="ListParagraph"/>
        <w:numPr>
          <w:ilvl w:val="0"/>
          <w:numId w:val="2"/>
        </w:numPr>
      </w:pPr>
      <w:r>
        <w:t xml:space="preserve">☐ Каждый этап воронки не больше предыдущего</w:t>
      </w:r>
    </w:p>
    <w:p>
      <w:pPr>
        <w:pStyle w:val="ListParagraph"/>
        <w:numPr>
          <w:ilvl w:val="0"/>
          <w:numId w:val="2"/>
        </w:numPr>
      </w:pPr>
      <w:r>
        <w:t xml:space="preserve">☐ Фильтры периода и филиалов меняют все виджеты экрана одновременно</w:t>
      </w:r>
    </w:p>
    <w:p>
      <w:pPr>
        <w:pStyle w:val="ListParagraph"/>
        <w:numPr>
          <w:ilvl w:val="0"/>
          <w:numId w:val="2"/>
        </w:numPr>
      </w:pPr>
      <w:r>
        <w:t xml:space="preserve">☐ Цвета дельт соответствуют правилу «хорошо / плохо» для каждого показателя</w:t>
      </w:r>
    </w:p>
    <w:p>
      <w:pPr>
        <w:pStyle w:val="ListParagraph"/>
        <w:numPr>
          <w:ilvl w:val="0"/>
          <w:numId w:val="2"/>
        </w:numPr>
      </w:pPr>
      <w:r>
        <w:t xml:space="preserve">☐ Экран читается на мониторе 1600×1000 без горизонтальной прокрутки</w:t>
      </w:r>
    </w:p>
    <w:p>
      <w:pPr/>
      <w:r>
        <w:rPr>
          <w:b/>
        </w:rPr>
        <w:t xml:space="preserve">Демо-данные для показа:</w:t>
      </w:r>
      <w:r>
        <w:t xml:space="preserve"> если реальных данных пока нет, разработчик генерирует вымышленную сеть из 7 филиалов за 22 месяца (с января прошлого года). Цифры должны быть согласованы между собой по формулам из справочника, с ростом примерно 10–15% год к году и сезонным подъёмом в сентябре–октябре. Ориентир по значениям — приложенные картинки дашбордов.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на дашборды управленческий и маркетинговый</dc:title>
  <dc:description>Claude Docs node/cf512c05-5d19@7 docx-w7</dc:description>
  <cp:revision>7</cp:revision>
</cp:coreProperties>
</file>