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57A47"/>
          <w:sz w:val="34"/>
          <w:szCs w:val="34"/>
        </w:rPr>
        <w:t xml:space="preserve">CIRKLE — RÉSUMÉ DES DÉCISIONS</w:t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Mis à jour le 4 juillet 2026 — préparé par Samir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1. LANGUES ET PLATEFORMES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 plateformes : Résidentiel et B2B, en anglais et en français.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Plan : l'ANGLAIS d'abord (9 provinces), le français ensuite (1 province).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Les plateformes françaises restent marquées « À VENIR » tant que les fiches françaises n'existent 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Rien ne se traduit automatiquement pour le moment : chaque fiche existe dans la langue du fichier envoyé.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DÉCISION EN ATTENTE : la traduction automatique anglais → français pourra être programmée plus tard, en une seule fois, sur toutes les fiches — avec vérification par Denis avant publication.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2. LES FICHES 2350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 MASTER 2350 est l'outil de travail de Denis, hors site — jamais vu par les fournisseurs.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Chaque profession = un fichier par plateforme, nommé WS0001RE, WS0001B2BE, etc. (le nom du fichier détermine le code et la plateforme).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Denis envoie les fichiers Excel dans la conversation → Samir les met en ligne et confirme.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MÊME code = mise à jour de la fiche existante; NOUVEAU code = nouvelle fiche.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Chaque fiche contient : les services avec « O » et PRÉCISEZ, les forfaits (codes postaux + 10 provinces), le tarif du site web (100 $ ou 150 $ selon la fiche), les 6 options, la ligne CONCLUSION et les mots-clés SEO.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Règle : on s'avertit mutuellement de tout changement au MASTER.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3. L'INSCRIPTION FOURNISSEUR (une seule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1. Coordonnées — les titres à gauche, le fournisseur remplit à côté; heures d'affaires sur 7 jours (premier choix : FERMÉ).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2. Votre 2350 — plateforme (Résidentiel/B2B), profession, acceptation des frais de fiche (75 $ résidentiel / 100 $ B2B).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3. Fiche des compétences — la fiche 2350 intégrale : le fournisseur clique les « O », remplit les PRÉCISEZ (plusieurs lignes possibles), choisit son forfait et sa zone, l'option site web, et les 6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Les 6 options se remplissent PENDANT l'inscription : ajouter, modifier, supprimer ses permis, diplômes, promotions, offres d'emploi, et téléverser jusqu'à 12 photos. « OUVRIR » montre l'explication de chaque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CONCLUSION obligatoire avant de continuer, puis mots-clés SEO (automatiques).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4. Mot de passe et conditions → paiement.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 cas d'erreur, un encadré ROUGE en haut de la page explique exactement quoi corriger.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4. PRIX ET FACTURATION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Forfait CODE POSTAL : facturé PAR code postal (1 à 10 codes, chaque boîte = un code différent de 6 caractères, ex. H9P 2T2).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Forfait PROVINCE : prix propre à chaque province, selon la fiche.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Site web du fournisseur : le tarif (100 $ ou 150 $) est déterminé par la fiche de la profession.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Frais de fiche uniques : 75 $ résidentiel / 100 $ B2B.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Paiement en ligne (Stripe) → facture PDF envoyée par courriel et disponible dans « Mes factures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Rappel d'abonnement 10 jours avant l'échéance; annulation effective en fin de terme.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5. NUMÉROS DE MEMBRE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Suite partagée clients/fournisseurs à partir de 2350 (C… pour clients, F… pour fournisseurs).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Chaque fournisseur génère automatiquement un compte client jumeau (numéro C consécutif).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Compteur de membres en haut à droite du site.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6. PAGE D'ACCUEIL ET LISTE DES FOURNISSEURS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Liste NOIRE des catégories/professions = référence, non cliquable.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Après recherche par code postal : les professions disponibles deviennent VERTES et cliquables.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 sur une profession verte → liste VERTICALE des fournisseurs (un bloc par fournisseur) → fiche complète avec onglets.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Badges PROMO (cercle orange) et E (logo) à côté du nom quand l'option est payée — retirés dès qu'elle ne l'est plus.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7. VOS ACCÈS PERMANENTS (sans inscription)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 site : cirkleservices.com/en et cirkleservices.com/fr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Tous les formulaires (page MASTER) : cirkleservices.com/fr/master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Tableau de bord ADMIN : cirkleservices.com/admin/login — demo.admin@cirkle.test — CirkleDemo2026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Compte FOURNISSEUR de test : demo.fournisseur@cirkle.test — CirkleDemo2026</w:t>
      </w:r>
    </w:p>
    <w:p>
      <w:pPr>
        <w:pStyle w:val="Heading1"/>
        <w:spacing w:after="120" w:before="260"/>
      </w:pPr>
      <w:r>
        <w:rPr>
          <w:b/>
          <w:bCs/>
          <w:color w:val="157A47"/>
          <w:sz w:val="26"/>
          <w:szCs w:val="26"/>
        </w:rPr>
        <w:t xml:space="preserve">8. CE QUI RESTE À FAIRE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Denis : les prochaines fiches anglaises (≈194), puis la décision traduction (A : fichiers français par Denis / B : traduction automatique vérifiée par Denis).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Denis : le compte Stripe (prélèvement automatique), les textes légaux finaux (Loi 25), l'outil de gestion des témoins (cookies), les mini-fiches et caricatures.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Samir : intégrer les 6 formulaires d'options (08F à 13F) dans les explications « OUVRIR ».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before="120"/>
      </w:pPr>
      <w:r>
        <w:rPr>
          <w:i/>
          <w:iCs/>
          <w:color w:val="666666"/>
          <w:sz w:val="19"/>
          <w:szCs w:val="19"/>
        </w:rPr>
        <w:t xml:space="preserve">Ce document est mis à jour à chaque décision importante. Demandez la dernière version à tout moment.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2026-07-05T22:08:35.623Z</dcterms:created>
  <dcterms:modified xsi:type="dcterms:W3CDTF">2026-07-05T22:08:35.624Z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