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t>&lt;image: r1gFzR22GHHXYdd0Nhhhx13HXZBY4cddtx12AWNHXbYcddhFzR22GHHXYdd0Nhhhx13HXZBY4cddtx12AWNHXbYcddhFzR22GHHXYdd0Nhhhx13Hf8fTXGWCtUGKB0AAAAASUVORK5CYII=&gt;</w:t>
      </w:r>
    </w:p>
    <w:p>
      <w:r/>
    </w:p>
    <w:p>
      <w:r>
        <w:t>&lt;image: UVzs6rqN7j8AAAAASUVORK5CYII=&gt;</w:t>
      </w:r>
    </w:p>
    <w:p>
      <w:r/>
      <w:r>
        <w:t>Module Code &amp; Module Title</w:t>
      </w:r>
    </w:p>
    <w:p>
      <w:r/>
      <w:r>
        <w:t>CS5071NT– Professional and Ethical Issues</w:t>
      </w:r>
    </w:p>
    <w:tbl>
      <w:tblPr>
        <w:tblW w:type="auto" w:w="0"/>
        <w:tblLook w:firstColumn="1" w:firstRow="1" w:lastColumn="0" w:lastRow="0" w:noHBand="0" w:noVBand="1" w:val="04A0"/>
      </w:tblPr>
      <w:tblGrid>
        <w:gridCol w:w="2880"/>
        <w:gridCol w:w="2880"/>
        <w:gridCol w:w="2880"/>
      </w:tblGrid>
      <w:tr>
        <w:tc>
          <w:tcPr>
            <w:tcW w:type="dxa" w:w="2880"/>
          </w:tcPr>
          <w:p>
            <w:r>
              <w:t>LondonMet ID</w:t>
            </w:r>
          </w:p>
        </w:tc>
        <w:tc>
          <w:tcPr>
            <w:tcW w:type="dxa" w:w="2880"/>
          </w:tcPr>
          <w:p>
            <w:r>
              <w:t>Student Name</w:t>
            </w:r>
          </w:p>
        </w:tc>
        <w:tc>
          <w:tcPr>
            <w:tcW w:type="dxa" w:w="2880"/>
          </w:tcPr>
          <w:p>
            <w:r>
              <w:t>Group</w:t>
            </w:r>
          </w:p>
        </w:tc>
      </w:tr>
      <w:tr>
        <w:tc>
          <w:tcPr>
            <w:tcW w:type="dxa" w:w="2880"/>
          </w:tcPr>
          <w:p>
            <w:r>
              <w:t>24046093</w:t>
            </w:r>
          </w:p>
        </w:tc>
        <w:tc>
          <w:tcPr>
            <w:tcW w:type="dxa" w:w="2880"/>
          </w:tcPr>
          <w:p>
            <w:r>
              <w:t>Subin Shrestha</w:t>
            </w:r>
          </w:p>
        </w:tc>
        <w:tc>
          <w:tcPr>
            <w:tcW w:type="dxa" w:w="2880"/>
          </w:tcPr>
          <w:p>
            <w:r>
              <w:t>Crack 0</w:t>
            </w:r>
          </w:p>
        </w:tc>
      </w:tr>
      <w:tr>
        <w:tc>
          <w:tcPr>
            <w:tcW w:type="dxa" w:w="2880"/>
          </w:tcPr>
          <w:p>
            <w:r>
              <w:t>24046101</w:t>
            </w:r>
          </w:p>
        </w:tc>
        <w:tc>
          <w:tcPr>
            <w:tcW w:type="dxa" w:w="2880"/>
          </w:tcPr>
          <w:p>
            <w:r>
              <w:rPr>
                <w:b/>
              </w:rPr>
              <w:t>Sujal Shrestha</w:t>
            </w:r>
          </w:p>
        </w:tc>
        <w:tc>
          <w:tcPr>
            <w:tcW w:type="dxa" w:w="2880"/>
          </w:tcPr>
          <w:p>
            <w:r>
              <w:t>Crack 0</w:t>
            </w:r>
          </w:p>
        </w:tc>
      </w:tr>
      <w:tr>
        <w:tc>
          <w:tcPr>
            <w:tcW w:type="dxa" w:w="2880"/>
          </w:tcPr>
          <w:p>
            <w:r>
              <w:t>24046121</w:t>
            </w:r>
          </w:p>
        </w:tc>
        <w:tc>
          <w:tcPr>
            <w:tcW w:type="dxa" w:w="2880"/>
          </w:tcPr>
          <w:p>
            <w:r>
              <w:t>Sushant Kulung</w:t>
            </w:r>
          </w:p>
        </w:tc>
        <w:tc>
          <w:tcPr>
            <w:tcW w:type="dxa" w:w="2880"/>
          </w:tcPr>
          <w:p>
            <w:r>
              <w:t>Crack 0</w:t>
            </w:r>
          </w:p>
        </w:tc>
      </w:tr>
      <w:tr>
        <w:tc>
          <w:tcPr>
            <w:tcW w:type="dxa" w:w="2880"/>
          </w:tcPr>
          <w:p>
            <w:r>
              <w:t>24046042</w:t>
            </w:r>
          </w:p>
        </w:tc>
        <w:tc>
          <w:tcPr>
            <w:tcW w:type="dxa" w:w="2880"/>
          </w:tcPr>
          <w:p>
            <w:r>
              <w:t>Samir Nepal</w:t>
            </w:r>
          </w:p>
        </w:tc>
        <w:tc>
          <w:tcPr>
            <w:tcW w:type="dxa" w:w="2880"/>
          </w:tcPr>
          <w:p>
            <w:r>
              <w:t>Crack 0</w:t>
            </w:r>
          </w:p>
        </w:tc>
      </w:tr>
      <w:tr>
        <w:tc>
          <w:tcPr>
            <w:tcW w:type="dxa" w:w="2880"/>
          </w:tcPr>
          <w:p>
            <w:r>
              <w:t>24045966</w:t>
            </w:r>
          </w:p>
        </w:tc>
        <w:tc>
          <w:tcPr>
            <w:tcW w:type="dxa" w:w="2880"/>
          </w:tcPr>
          <w:p>
            <w:r>
              <w:t>Prajwal Koirala</w:t>
            </w:r>
          </w:p>
        </w:tc>
        <w:tc>
          <w:tcPr>
            <w:tcW w:type="dxa" w:w="2880"/>
          </w:tcPr>
          <w:p>
            <w:r>
              <w:t>Crack 0</w:t>
            </w:r>
          </w:p>
        </w:tc>
      </w:tr>
    </w:tbl>
    <w:p>
      <w:r/>
      <w:r>
        <w:t>Submitted To :- Mr Ajay Raj Bhattarai</w:t>
      </w:r>
    </w:p>
    <w:p>
      <w:r/>
      <w:r>
        <w:t>Assignment Submission Date :- 7</w:t>
      </w:r>
      <w:r>
        <w:rPr>
          <w:vertAlign w:val="superscript"/>
        </w:rPr>
        <w:t>th</w:t>
      </w:r>
      <w:r>
        <w:t xml:space="preserve"> March, 2026</w:t>
      </w:r>
    </w:p>
    <w:p>
      <w:r/>
    </w:p>
    <w:p>
      <w:r/>
      <w:r>
        <w:t>I confirm that I understand my coursework needs to be submitted online via mySecondTeacher Classroom under the relevant module page before the deadline in order for my assignment to be accepted and marked. I am fully aware that late submissions will be treated as non-submission and a mark of zero will be awarded</w:t>
      </w:r>
    </w:p>
    <w:p>
      <w:r/>
      <w:r>
        <w:t>Table of Contents</w:t>
      </w:r>
    </w:p>
    <w:p>
      <w:r/>
      <w:hyperlink r:id="rId9">
        <w:r>
          <w:rPr>
            <w:color w:val="0000EE"/>
            <w:u w:val="single"/>
          </w:rPr>
          <w:t>1. Introduction 1</w:t>
        </w:r>
      </w:hyperlink>
    </w:p>
    <w:p>
      <w:r/>
      <w:hyperlink r:id="rId10">
        <w:r>
          <w:rPr>
            <w:color w:val="0000EE"/>
            <w:u w:val="single"/>
          </w:rPr>
          <w:t>2. Individual Questions Responses 2</w:t>
        </w:r>
      </w:hyperlink>
    </w:p>
    <w:p>
      <w:r/>
      <w:hyperlink r:id="rId11">
        <w:r>
          <w:rPr>
            <w:color w:val="0000EE"/>
            <w:u w:val="single"/>
          </w:rPr>
          <w:t>Question no 1 2</w:t>
        </w:r>
      </w:hyperlink>
    </w:p>
    <w:p>
      <w:r/>
      <w:hyperlink r:id="rId12">
        <w:r>
          <w:rPr>
            <w:color w:val="0000EE"/>
            <w:u w:val="single"/>
          </w:rPr>
          <w:t>Question no 2 5</w:t>
        </w:r>
      </w:hyperlink>
    </w:p>
    <w:p>
      <w:r/>
      <w:hyperlink r:id="rId13">
        <w:r>
          <w:rPr>
            <w:color w:val="0000EE"/>
            <w:u w:val="single"/>
          </w:rPr>
          <w:t>Question no 3 7</w:t>
        </w:r>
      </w:hyperlink>
    </w:p>
    <w:p>
      <w:r/>
      <w:hyperlink r:id="rId14">
        <w:r>
          <w:rPr>
            <w:color w:val="0000EE"/>
            <w:u w:val="single"/>
          </w:rPr>
          <w:t>Question no 4 8</w:t>
        </w:r>
      </w:hyperlink>
    </w:p>
    <w:p>
      <w:r/>
      <w:hyperlink r:id="rId15">
        <w:r>
          <w:rPr>
            <w:color w:val="0000EE"/>
            <w:u w:val="single"/>
          </w:rPr>
          <w:t>Question no 5 9</w:t>
        </w:r>
      </w:hyperlink>
    </w:p>
    <w:p>
      <w:r/>
      <w:hyperlink r:id="rId16">
        <w:r>
          <w:rPr>
            <w:color w:val="0000EE"/>
            <w:u w:val="single"/>
          </w:rPr>
          <w:t>Question no 6 11</w:t>
        </w:r>
      </w:hyperlink>
    </w:p>
    <w:p>
      <w:r/>
      <w:hyperlink r:id="rId17">
        <w:r>
          <w:rPr>
            <w:color w:val="0000EE"/>
            <w:u w:val="single"/>
          </w:rPr>
          <w:t>3. Conclusion 13</w:t>
        </w:r>
      </w:hyperlink>
    </w:p>
    <w:p>
      <w:r/>
      <w:hyperlink r:id="rId18">
        <w:r>
          <w:rPr>
            <w:color w:val="0000EE"/>
            <w:u w:val="single"/>
          </w:rPr>
          <w:t>4. Reference List 14</w:t>
        </w:r>
      </w:hyperlink>
    </w:p>
    <w:p>
      <w:pPr>
        <w:pStyle w:val="Heading1"/>
      </w:pPr>
      <w:r>
        <w:t>Introduction</w:t>
      </w:r>
    </w:p>
    <w:p>
      <w:r/>
      <w:r>
        <w:t>The assignment involves Critical Thinking, Ethical reasoning Academic writing skills, Use of scholarly evidence and Structure argument development about how modern society is changing very fast due artificial intelligence and other new technologies. The new opportunities for automation, virtual reality, smart systems, and genetic engineering as well as other innovations, are emerging and making a significant ethical and social change. Such technologies affect employment and privacy, human identity as well as making decisions in our day-to-day life. With the increased dynamism in technology, it is the duty of society to take a keen interest in understanding the impact that the advancement of technology has on human values, responsibilities and relationships. The following report consists of several major ethical issues that are associated with advanced technologies are analyzed, and their possible effects on individuals, government, and world society are discussed.</w:t>
      </w:r>
    </w:p>
    <w:p>
      <w:pPr>
        <w:pStyle w:val="Heading1"/>
      </w:pPr>
      <w:r>
        <w:t>Individual Questions Responses</w:t>
      </w:r>
    </w:p>
    <w:p>
      <w:r/>
      <w:r>
        <w:rPr>
          <w:b/>
        </w:rPr>
        <w:t>Student Name: Sujal Shrestha</w:t>
      </w:r>
    </w:p>
    <w:p>
      <w:pPr>
        <w:pStyle w:val="Heading2"/>
      </w:pPr>
      <w:r>
        <w:t>Question no 1</w:t>
      </w:r>
    </w:p>
    <w:p>
      <w:r/>
      <w:r>
        <w:rPr>
          <w:b/>
        </w:rPr>
        <w:t>What will be the impact on employment and economic structures if automation replaces the majority of human jobs? How should governments and societies prepare for such a transformation?</w:t>
      </w:r>
    </w:p>
    <w:p>
      <w:r/>
      <w:r>
        <w:t>The fast development of artificial intelligence (AI) and automation technologies introduces one of the greatest economic and social issues of the twenty-first century. The modern AI systems display the ability to automate mental labor unlike the past technological revolutions which were mostly applied to manual and routine jobs such as law, medicine, education, industrial and other creative sectors. This essay critically discusses the possible consequences of widespread automation of jobs and economies, and what some of the possible ways in which the government bodies and society can prepare to face this transition in the coming years.</w:t>
      </w:r>
    </w:p>
    <w:p>
      <w:r/>
      <w:r>
        <w:t>The human labor being replaced by automated systems works on what the author defines to be the displacement effect, less labor demand, wages and employment when machines are doing what was previously done by humans. An examination of robots used in the United States in the industrial sector revealed that the introduction of one robot per 1000 workers decreases the ratio of employment to the population by 0.2 percentage points, which is equivalent to about 400,000 jobs in the country, with each robot replacing about 3.3 workers when including more extensive economic impacts (Restrepo, 2019). McKinsey Global Institute estimates that as many as 800 million jobs may be shed throughout the world by 2030, and 375 million workers may face a major retraining challenge. These data indicate that in any less than optimistic conditions, the process of automation will reorganize the labor markets radically but not just wipe out one or another position. (James Manyika, 2017)</w:t>
      </w:r>
    </w:p>
    <w:p>
      <w:r/>
      <w:r>
        <w:t>More importantly, these effects will not spread equally among the populations and the regions. A study of parliamentary constituencies in the United Kingdom found that automation risk is between 22% and 39% in other regions, with the former industrial heartlands having the greatest number of exposures. This geographic concentration poses a risk of further increasing the inequalities which are already present in the regions, and this may result in regions of extreme economic deprivation and areas which are technologically at an advantage succeed. Manufacturing, transportation, logistics, and retail industries are especially vulnerable, and service industries with complex human interactions might turn out more resilient. Another effect of automation is divergence of the labor market, whereby the middle-skilled jobs are losing their demand and the opportunities at the end of the skill distribution are increasing. Low-skilled laborers have an increased risk of displacement and cannot compete with technology when it comes to efficiency, cost curve and the high-skilled laborers who complement automated systems get increasing wages. This increases income inequalities and puts economic profits into the hands of technology firms, capitalists, and highly skilled workers. Uneducated and educated workers are affected much more than those who have college education and industrial robots also have an unequal representation of manual workers such as machinists, assemblers and material handlers. These disparate effects threaten to add to the prevailing educational and socioeconomic gaps in society. (Frey, 2017)</w:t>
      </w:r>
    </w:p>
    <w:p>
      <w:r/>
      <w:r>
        <w:t>Economic studies on automation often overlook the non-financial costs of work, which could be the main expense of losing a job. The close relationship between the lack of jobs and the poor health outcomes is partly due to the social stigma surrounding unemployment as well as the absence of activities that organize healthy living places. Several researchers argue that these factors are the key cost of job loss, which focuses on the importance of including them in policy making responses. Mass unemployment due to automation might thus be the source of mental health crises, family breakdown and disintegration of the community well beyond material deprivation (Jahoda, 2019). In addition to the effects of automation on individual employment, massive automation would restructure economies. Automation may lower the cost of production and consumer prices, which may in turn encourage demand in certain sectors because of the so-called productivity effect (James Manyika, 2017).</w:t>
      </w:r>
    </w:p>
    <w:p>
      <w:r/>
      <w:r>
        <w:t>Reconstruction of education is one of the key strategies of preparing the ground. Theorists propose a radical change in curriculum to AI literacy that includes not just technical abilities and constraints, but also developing uniquely human ones, such as creativity, emotional intelligence and sophisticated moral judgment. Soft skills like communication and empathy are not so easily automated and will be critical in the future work environment. The lifelong learning initiatives should go beyond the conventional education programs and include the ongoing skills acquisition lifelong among the workers. The vocational training system in Germany is very practical as it integrates classroom training with the on-the-job apprenticeship that is jointly planned with the industry associations to keep in touch with the changing skill needs. The Skills Future Initiative, offered by Singapore, offers an alternative model, where the citizens receive credits on different training programmed, and where the industry is encouraged to cooperate with each other’s views and understandings.</w:t>
      </w:r>
    </w:p>
    <w:p>
      <w:r/>
      <w:r>
        <w:t>The possibility of automating most of the human employment is a deep issue that goes beyond the economic displacement to include psychological health, social stability, and political stability. To properly prepare, the entire approaches that will combine educational reorientation, strong social safety nets and focus on non-material role of work. Critically, the interventions should be initiated earlier before the displacement impacts are fully realized because the preventive effort has a narrow scope when the automation effects become concentrated</w:t>
      </w:r>
    </w:p>
    <w:p>
      <w:r/>
      <w:r>
        <w:rPr>
          <w:b/>
        </w:rPr>
        <w:t>Student Name: Sushant Kulung</w:t>
      </w:r>
    </w:p>
    <w:p>
      <w:pPr>
        <w:pStyle w:val="Heading2"/>
      </w:pPr>
      <w:r>
        <w:t>Question no 2</w:t>
      </w:r>
    </w:p>
    <w:p>
      <w:r/>
      <w:r>
        <w:rPr>
          <w:b/>
        </w:rPr>
        <w:t>If virtual reality becomes so advanced that people prefer living in digital worlds rather than physical reality, how will it affect social relationships and mental health?</w:t>
      </w:r>
    </w:p>
    <w:p>
      <w:r/>
      <w:r>
        <w:t>The potential of virtual reality development being very high, many humans may choose to devote large portions of their lives to the virtual world, instead of real life. This situation has some important issues in terms of human relations, accountability, and psychological comfort in the light of a professional and ethics module.</w:t>
      </w:r>
    </w:p>
    <w:p>
      <w:r/>
      <w:r>
        <w:t>One of the effects that can be experienced is the social relationships. Virtual reality allows individuals to talk and play in the virtual world with the help of avatars. This can help individuals build relations with other people in the world and share experiences together regardless of the distance. However, in case individuals get too attached to the virtual world the real life communication with relatives, friends, and society may deteriorate. Ethics come in when technology begins to replace the real human interaction where close relationship can be built upon through being physically present where understanding and face to face interaction is possible. It is the responsibility of individuals who develop the VR technologies to ensure they develop systems that foster healthy interaction as compared to complete social isolation (Bailenson, 2018).</w:t>
      </w:r>
    </w:p>
    <w:p>
      <w:r/>
      <w:r>
        <w:t>The other urgent issue is the impact on mentality. The virtual worlds can be entertaining, informative and even therapeutic such as alleviating stress or curing some psychological condition. In the meantime, excessive exposure to virtual world may lead to addiction, socialization failure, or inability to distinguish between real and virtual world. It can make them even lonelier, anxious or more depressed as they run away to the digital world in an attempt to hide their problems in the real world. Technological developers and organizations should consider the psychological effects of the systems that are highly-immersive, ethically (Madary &amp; Metzinger, 2016).</w:t>
      </w:r>
    </w:p>
    <w:p>
      <w:r/>
      <w:r>
        <w:t>Professional responsibility and ethical design are also related to the subject matter. Technology experts have the duty to ensure that the virtual reality systems improve digital well-being. That can be a combination of elements that promote time limitations, a healthy social manner and protect consumers against bad experiences. Ethics should be geared towards protecting the psychological wellbeing of the users and ensuring that technology is assisting the human being to grow other than replacing the actual living (Bailenson, 2018).</w:t>
      </w:r>
    </w:p>
    <w:p>
      <w:r/>
      <w:r>
        <w:t>In conclusion, even though having a well-developed virtual reality can improve communication, learning and entertainment, there are ethical issues. Overdependence on the digital world can negatively affect the quality of face-to-face relationships and produce a negative effect on mental health. Therefore, i should be a responsible designer who is conscious of the ethics and uses technology in moderation to ensure that virtual reality is used to benefit the society, but does not harm the people.</w:t>
      </w:r>
    </w:p>
    <w:p>
      <w:r/>
      <w:r>
        <w:rPr>
          <w:b/>
        </w:rPr>
        <w:t>Student Name: Prajwal Koirala</w:t>
      </w:r>
    </w:p>
    <w:p>
      <w:pPr>
        <w:pStyle w:val="Heading2"/>
      </w:pPr>
      <w:r>
        <w:t>Question no 3</w:t>
      </w:r>
    </w:p>
    <w:p>
      <w:r/>
      <w:r>
        <w:rPr>
          <w:b/>
        </w:rPr>
        <w:t>If virtual reality becomes so advanced that people prefer living in digital worlds rather than physical reality, how will it affect social relationships and mental health?</w:t>
      </w:r>
    </w:p>
    <w:p>
      <w:r/>
      <w:r>
        <w:rPr>
          <w:b/>
        </w:rPr>
        <w:t xml:space="preserve"> </w:t>
      </w:r>
      <w:r>
        <w:t>If virtual reality becomes highly advanced and preferred over physical reality, social relationships could fragment: deep, embodied connections might weaken due to reduced face-to-face interaction, leading to increased isolation and shallower virtual bonds. However, immersive digital worlds could make new communties engaging only on digitally but not physically though reducing loneliness for some people (Lee et al., n.d.) .</w:t>
      </w:r>
    </w:p>
    <w:p>
      <w:r/>
      <w:r>
        <w:t>Social Relationships may be affected both positively and negatively as Virtual Reality may make people able to forge relationships for some isolated groups i.e people with disabilities or older adults building a social presence through a simulated environment practicing social skills lowering the social anxiety that people commonly have today (Deighan et al., 2023) (Kenyon et al., 2023) (Kalantari, 2023).On the other hand the digital interactions may also weaken world-bonds , lesser face-to-face interactions , potential quarantine from physical families friends and superficial or avatar based relationships(Lee et al., 2021). Mental health may vary with Virtual reality as has the potential to have therapeutic effects, including anxiety, PTSD, depression, and stress, as well as coupled with matters of empathy, connectedness, and well-being in general due to the experiences of immersion (Zeng, 2025) (Hawajri, 2023) (Jingili, 2023). However, one of the risks can also be its very strength: excessive use can cause addiction, dependence, cybersickness, feelings of detachment, and even the aggravation of anxiety or depression, particularly in people with low self-esteem (Lee et al., n.d.) (Lundin, 2023) (Machado, 2025). In a nutshell, VR is highly promising in terms of healing and development, yet there must be a balance and a consideration of usage to prevent the poor avoidance of real life.</w:t>
      </w:r>
    </w:p>
    <w:p>
      <w:r/>
      <w:r>
        <w:t>Overall, all the outcomes will depend on usage patterns and individual factors. As it we may say it could both be a boon and a curse to humanity having positive and negative sides along way . A balance is essential with mindful design ,regulations to maximize advantages minimizing harms.</w:t>
      </w:r>
    </w:p>
    <w:p>
      <w:r/>
      <w:r>
        <w:rPr>
          <w:b/>
        </w:rPr>
        <w:t>Student Name: Subin Shrestha</w:t>
      </w:r>
    </w:p>
    <w:p>
      <w:pPr>
        <w:pStyle w:val="Heading2"/>
      </w:pPr>
      <w:r>
        <w:t>Question no 4</w:t>
      </w:r>
    </w:p>
    <w:p>
      <w:r/>
      <w:r>
        <w:rPr>
          <w:b/>
        </w:rPr>
        <w:t>If autonomous weapons powered by AI can independently decide when to attack, who should be held responsible for their actions? Can machines be morally accountable?</w:t>
      </w:r>
    </w:p>
    <w:p>
      <w:r/>
      <w:r>
        <w:rPr>
          <w:b/>
        </w:rPr>
        <w:t xml:space="preserve">🡪 </w:t>
      </w:r>
      <w:r>
        <w:t>According to International Committee of the Red Cross (ICRC) and discussion under the Convention on Certain Conventional Weapon (CCW) regarding Lethal Autonomous Weapon System (LAWS), human actors including military commanders, operators and states remain responsible for any violation of the International Humanitarian Law (IHL). (Wilson, 2025)</w:t>
      </w:r>
    </w:p>
    <w:p>
      <w:r/>
      <w:r>
        <w:t>While AI system can be highly sophisticated, it will still lag behind compared to human wisdom and empathy. For instance, an autonomous weapon cannot differentiate between non-combatants or injured combatants which may lead to unlawful or unethical consequences. Consequently, autonomous machines must be used in non-lethal tasks like monitoring or in data gathering not in actual combating. Not being conscious, intentional and conscience, machines cannot be held morally responsible and the final responsibility should be left to the human actors.</w:t>
      </w:r>
    </w:p>
    <w:p>
      <w:r/>
      <w:r>
        <w:rPr>
          <w:b/>
        </w:rPr>
        <w:t>Student Name: Samir Nepal</w:t>
      </w:r>
    </w:p>
    <w:p>
      <w:pPr>
        <w:pStyle w:val="Heading2"/>
      </w:pPr>
      <w:r>
        <w:t>Question no 5</w:t>
      </w:r>
    </w:p>
    <w:p>
      <w:r/>
      <w:r>
        <w:rPr>
          <w:b/>
        </w:rPr>
        <w:t>What will happen to human identity and individuality if genetic engineering allows parents to design their children’s intelligence, appearance, and abilities before birth? Will this create inequality or redefine societal standards of perfection?</w:t>
      </w:r>
    </w:p>
    <w:p>
      <w:r/>
      <w:r>
        <w:t>The rapid growth of biotechnology, especially gene-editing technologies like CRISPR-Cas9 have given rise to the possibility of editing human genes in utero, which has become more and more a reality. Such technologies can someday enable parents to shape characteristics on their children such as intelligence, physical appearance and physical abilities. Although genetic engineering has immense medical advantages, namely, the elimination of inherited illness, it poses very serious ethical challenges to human identity, autonomy, and social justice. According to bioethicists, the technology of creating the human traits may change the concept of individuality fundamentally and transform the social notions of perfection (Sandel, 2007) (Habermas, 2003). Opponents also raise the concern that genetic enhancement can widen social disparities and undermine moral equality (Fukuyama, 2002).</w:t>
      </w:r>
    </w:p>
    <w:p>
      <w:r/>
      <w:r>
        <w:t>Biological inheritance, environmental factors, and personal experiences have traditionally been the factors shaping human identity. Genetic engineering disputes this perception by bringing intelligent design to the genetic composition of the future humans. To Michael Sandel, the capacity to create certain attributes is a turning point to appreciating the giftedness of life to trying to dominate human attributes (Sandel, 2007).</w:t>
      </w:r>
    </w:p>
    <w:p>
      <w:r/>
      <w:r>
        <w:t>The other argument presented by Jurgen Habermas is that genetically engineered members of the society might view their traits as something forced to them by the rest of the society instead of one born out of personal experience (Habermas, 2003). Independence and The Morality of Child Design.</w:t>
      </w:r>
    </w:p>
    <w:p>
      <w:r/>
      <w:r>
        <w:t>Autonomy is the skill of making personal decisions concerning their lives. Genetic engineering is considered to be an ethical issue as the choices regarding the biological features of a child would be taken before the person could make a choice. Habermas claims that the interference can suppress the future freedom of the child as it can involve non-reversible genetic choices (Habermas, 2003).</w:t>
      </w:r>
    </w:p>
    <w:p>
      <w:r/>
      <w:r>
        <w:t>The same issue is traced in the moral philosophy of Immanuel Kant, who has stated that human beings should never be merely used as the means to reach the objectives of another person but they should be regarded as an end in themselves (Kant, 1993).</w:t>
      </w:r>
    </w:p>
    <w:p>
      <w:r/>
      <w:r>
        <w:t>The other significant ethical issue is that genetic engineering may raise the level of societal inequality. Since development of advanced technological products in genetics might be costly, it can only be available to the rich. Francis Fukuyama cautions that it may result in the creation of a genetic aristocracy whereby biological benefits will create further social inequalities (Fukuyama, 2002).</w:t>
      </w:r>
    </w:p>
    <w:p>
      <w:r/>
      <w:r>
        <w:t>Bioethicists also imply that the different access to the enhancement technologies might also undermine social solidarity and discrimination between the enhanced and the non-enhanced persons (Lev, 2011).</w:t>
      </w:r>
    </w:p>
    <w:p>
      <w:r/>
      <w:r>
        <w:t>Genetic engineering can also change the expectations of the society as far as perfection and human accomplishment are concerned. Leon Kass claims that biotechnology can even promote a kind of culture of perfectionism that diminishes the value of human diversity (Kass, 2003).</w:t>
      </w:r>
    </w:p>
    <w:p>
      <w:r/>
      <w:r>
        <w:t>Likewise, Sandel seeks to state that genetic enhancement can reduce parenting to the process of producing the preferred characteristics instead of accepting kids the way they are (Sandel, 2007).</w:t>
      </w:r>
    </w:p>
    <w:p>
      <w:r/>
      <w:r>
        <w:t>Genetic engineering is one of the most revolutionary inventions in contemporary biotechnology. Although it can help to avoid genetic diseases and make people healthier, human traits design creates severe ethical issues. The philosophers Kant, Habermas, and Sandel focus on the need to safeguard human autonomy and dignity under the influence of technological advancements. Genetic enhancement can emphasize social inequality and redefine the ideal in society. Thus, genetic engineering has ethical consequences that should be deeply thought over to make sure that science does not interfere with human individuality and equality.</w:t>
      </w:r>
    </w:p>
    <w:p>
      <w:r/>
      <w:r>
        <w:rPr>
          <w:b/>
        </w:rPr>
        <w:t>Student Name: Prajwal Koirala</w:t>
      </w:r>
    </w:p>
    <w:p>
      <w:pPr>
        <w:pStyle w:val="Heading2"/>
      </w:pPr>
      <w:r>
        <w:t>Question no 6</w:t>
      </w:r>
    </w:p>
    <w:p>
      <w:r/>
      <w:r>
        <w:rPr>
          <w:b/>
        </w:rPr>
        <w:t>How will society respond when artificial intelligence systems become more accurate than doctors, lawyers, and teachers in decision making? Will we trust machines more than humans in critical life situations?</w:t>
      </w:r>
    </w:p>
    <w:p>
      <w:r/>
      <w:r>
        <w:t>If artificial intelligence (AI) systems become more accurate than doctors, lawyers, and teachers in decision-making, supported by recent studies showing AI outperforming humans in diagnostics, legal research, and aspects of personalized learning, society could respond with a combination of accelerated adoption, professional resistance, regulatory frameworks, and ethical debates.</w:t>
      </w:r>
    </w:p>
    <w:p>
      <w:r/>
      <w:r>
        <w:t>(URAC, 2026).</w:t>
      </w:r>
    </w:p>
    <w:p>
      <w:r/>
      <w:r>
        <w:t>This shift might improve efficiency, accessibility, and outcomes in these fields, but also raise concerns about job displacement, over-reliance, biases, and loss of human elements like empathy and nuanced judgment. Some potential society responses may be:</w:t>
      </w:r>
    </w:p>
    <w:p>
      <w:pPr>
        <w:pStyle w:val="ListBullet"/>
        <w:spacing w:line="240" w:lineRule="auto"/>
        <w:ind w:left="720"/>
      </w:pPr>
      <w:r/>
      <w:r>
        <w:t>Implementation in practice: AI would be strongly adopted in efficiency e.g. better diagnostics in medicine would need to be above 95 percent accuracy, faster legal research, and individualized education would free professionals to do complex or empathetically demanding work (Microsoft, 2025).</w:t>
      </w:r>
    </w:p>
    <w:p>
      <w:pPr>
        <w:pStyle w:val="ListBullet"/>
        <w:spacing w:line="240" w:lineRule="auto"/>
        <w:ind w:left="720"/>
      </w:pPr>
      <w:r/>
      <w:r>
        <w:t>Resistance and regulation: Doctors and lawyers might resist because they feel they are losing or deskilled which results in stigma and counteractions. Laws (such as the updating of the AI Act in the EU, US policies) would require transparency, human control, ethical protection (URAC, 2026).</w:t>
      </w:r>
    </w:p>
    <w:p>
      <w:pPr>
        <w:pStyle w:val="ListBullet"/>
        <w:spacing w:line="240" w:lineRule="auto"/>
        <w:ind w:left="720"/>
      </w:pPr>
      <w:r/>
      <w:r>
        <w:t>Bigger trends: The biasness, trust and fairness and moral decision making would be debated, there would be requests to protect human autonomy, empathy and responsibility in such critical fields as the diagnosis of health care, the decision of a court of law etc. (Gillespie, 2025)</w:t>
      </w:r>
    </w:p>
    <w:p>
      <w:r/>
      <w:r>
        <w:t>Trust would probably be conditional and disproportional as opposed to unconditional. Research demonstrates a phenomenon known as algorithm appreciation, where individuals place too much trust in AI recommendations despite it being incorrect because of a sense of objectivity and rely on them more in certain instances (i.e., patients trusting AI medical advice more highly than doctors, however, the advice is incorrect) (MIT/NEJM, 2025). Nevertheless, in situations of high stakes, no one feels confident that it can be done correctly: society wants human involvement in the processes of fairness, empathy and moral reasoning, particularly in medicine, law and education (Ipsos, n.d.). Hybrid ways are often popular with clinicians and users, and many require explainability, demonstrated safety, and supervision before halting the development of superhuman AI (Institute, 2025).</w:t>
      </w:r>
    </w:p>
    <w:p>
      <w:r/>
      <w:r>
        <w:t>In Conclusion the society can adopt AI due to its accuracy and efficiency, but with demanded protection, human-AI partnership in emergencies is preferable to manage the advantages against the disadvantages of AI, such as bias , over trust and loss of human skills. The results will be determined by clear policies, learning, and solving ethical issues.</w:t>
      </w:r>
    </w:p>
    <w:p>
      <w:pPr>
        <w:pStyle w:val="Heading1"/>
      </w:pPr>
      <w:r>
        <w:t>Conclusion</w:t>
      </w:r>
    </w:p>
    <w:p>
      <w:r/>
      <w:r>
        <w:t>In Conclusion, the scope of development of new technologies in artificial intelligence, automation, and genetic engineering is both beneficial and dangerous, as well as seriously ethical. Although these innovations have the potential to enhance efficiency, health care, and decision-making, they are also problematic in terms of employment, privacy, accountability and social inequality. The solutions to these problems lie in the careful regulation, prudent technological advancement, and effective ethical standards. Innovation and ethical responsibility can help societies to make sure that the technological advances promote human well-being and sustainable development and do not pose new threats and disparities.</w:t>
      </w:r>
    </w:p>
    <w:p>
      <w:pPr>
        <w:pStyle w:val="Heading1"/>
      </w:pPr>
      <w:r>
        <w:t>References</w:t>
      </w:r>
    </w:p>
    <w:p>
      <w:pPr>
        <w:pStyle w:val="ListNumber"/>
        <w:spacing w:line="240" w:lineRule="auto"/>
        <w:ind w:left="720"/>
      </w:pPr>
      <w:r/>
      <w:r>
        <w:t xml:space="preserve">Bailenson, J.N. (2018) </w:t>
      </w:r>
      <w:r>
        <w:rPr>
          <w:i/>
        </w:rPr>
        <w:t>Experience on Demand: What Virtual Reality Is, How It Works, and What It Can Do</w:t>
      </w:r>
      <w:r>
        <w:t>. 1st ed. New York: W. W. Norton &amp; Company.</w:t>
      </w:r>
    </w:p>
    <w:p>
      <w:pPr>
        <w:pStyle w:val="ListNumber"/>
        <w:spacing w:line="240" w:lineRule="auto"/>
        <w:ind w:left="720"/>
      </w:pPr>
      <w:r/>
      <w:r>
        <w:t xml:space="preserve">Deighan, M.T., Ayobi, A. &amp; O'Kane, A.A. (2023) Social Virtual Reality as a Mental Health Tool: How People Use VRChat to Support Social Connectedness and Wellbeing. In </w:t>
      </w:r>
      <w:r>
        <w:rPr>
          <w:i/>
        </w:rPr>
        <w:t>Proceedings of the 2023 CHI Conference on Human Factors in Computing Systems</w:t>
      </w:r>
      <w:r>
        <w:t>., 2023. ACM.</w:t>
      </w:r>
    </w:p>
    <w:p>
      <w:pPr>
        <w:pStyle w:val="ListNumber"/>
        <w:spacing w:line="240" w:lineRule="auto"/>
        <w:ind w:left="720"/>
      </w:pPr>
      <w:r/>
      <w:r>
        <w:t xml:space="preserve">Frey, C.B.a.O.M.A. (2017) The future of employment: How susceptible are jobs to computerisation? </w:t>
      </w:r>
      <w:r>
        <w:rPr>
          <w:i/>
        </w:rPr>
        <w:t>Technological Forecasting and Social Change</w:t>
      </w:r>
      <w:r>
        <w:t xml:space="preserve">, 114, pp.254 - 280. Available at: </w:t>
      </w:r>
      <w:hyperlink r:id="rId19">
        <w:r>
          <w:rPr>
            <w:color w:val="0000EE"/>
            <w:u w:val="single"/>
          </w:rPr>
          <w:t>https://doi.org/10.1016/j.techfore.2016.08.019</w:t>
        </w:r>
      </w:hyperlink>
      <w:r>
        <w:t>.</w:t>
      </w:r>
    </w:p>
    <w:p>
      <w:pPr>
        <w:pStyle w:val="ListNumber"/>
        <w:spacing w:line="240" w:lineRule="auto"/>
        <w:ind w:left="720"/>
      </w:pPr>
      <w:r/>
      <w:r>
        <w:t xml:space="preserve">Gillespie, N..L.S..W.T..M.A..&amp;.H.G. (2025) </w:t>
      </w:r>
      <w:r>
        <w:rPr>
          <w:i/>
        </w:rPr>
        <w:t>Trust, attitudes and use of artificial intelligence: A global study 2025</w:t>
      </w:r>
      <w:r>
        <w:t>. The University of Melbourne and KPMG.</w:t>
      </w:r>
    </w:p>
    <w:p>
      <w:pPr>
        <w:pStyle w:val="ListNumber"/>
        <w:spacing w:line="240" w:lineRule="auto"/>
        <w:ind w:left="720"/>
      </w:pPr>
      <w:r/>
      <w:r>
        <w:t xml:space="preserve">Hawajri, O. (2023) Virtual Reality Exposure Therapy as a Treatment Method Against Anxiety Disorders and Depression—A Structured Literature Review. </w:t>
      </w:r>
      <w:r>
        <w:rPr>
          <w:i/>
        </w:rPr>
        <w:t>Issues in Mental Health Nursing</w:t>
      </w:r>
      <w:r>
        <w:t xml:space="preserve">, 44(4), pp.245-69. Available at: </w:t>
      </w:r>
      <w:hyperlink r:id="rId20">
        <w:r>
          <w:rPr>
            <w:color w:val="0000EE"/>
            <w:u w:val="single"/>
          </w:rPr>
          <w:t>https://doi.org/10.1080/01612840.2023.2190051</w:t>
        </w:r>
      </w:hyperlink>
      <w:r>
        <w:t>.</w:t>
      </w:r>
    </w:p>
    <w:p>
      <w:pPr>
        <w:pStyle w:val="ListNumber"/>
        <w:spacing w:line="240" w:lineRule="auto"/>
        <w:ind w:left="720"/>
      </w:pPr>
      <w:r/>
      <w:r>
        <w:t xml:space="preserve">Institute, F.o.L. (2025) </w:t>
      </w:r>
      <w:r>
        <w:rPr>
          <w:i/>
        </w:rPr>
        <w:t>The U.S. Public Wants Regulation (or Prohibition) of Expert-Level and Superhuman AI (includes the embedded polling results)</w:t>
      </w:r>
      <w:r>
        <w:t>. Future of Life Institute.</w:t>
      </w:r>
    </w:p>
    <w:p>
      <w:pPr>
        <w:pStyle w:val="ListNumber"/>
        <w:spacing w:line="240" w:lineRule="auto"/>
        <w:ind w:left="720"/>
      </w:pPr>
      <w:r/>
      <w:r>
        <w:t xml:space="preserve">Ipsos. (n.d.) </w:t>
      </w:r>
      <w:r>
        <w:rPr>
          <w:i/>
        </w:rPr>
        <w:t>Public Attitudes to AI (2024–2025)</w:t>
      </w:r>
      <w:r>
        <w:t>.</w:t>
      </w:r>
    </w:p>
    <w:p>
      <w:pPr>
        <w:pStyle w:val="ListNumber"/>
        <w:spacing w:line="240" w:lineRule="auto"/>
        <w:ind w:left="720"/>
      </w:pPr>
      <w:r/>
      <w:r>
        <w:t xml:space="preserve">Jahoda, M. (2019) </w:t>
      </w:r>
      <w:r>
        <w:rPr>
          <w:i/>
        </w:rPr>
        <w:t>The future of work: OECD employment outlook</w:t>
      </w:r>
      <w:r>
        <w:t xml:space="preserve">. Cambridge: Cambridge University Press. Available at: </w:t>
      </w:r>
      <w:hyperlink r:id="rId21">
        <w:r>
          <w:rPr>
            <w:color w:val="0000EE"/>
            <w:u w:val="single"/>
          </w:rPr>
          <w:t>https://doi.org/10.1787/9ee00155-en</w:t>
        </w:r>
      </w:hyperlink>
      <w:r>
        <w:t>.</w:t>
      </w:r>
    </w:p>
    <w:p>
      <w:pPr>
        <w:pStyle w:val="ListNumber"/>
        <w:spacing w:line="240" w:lineRule="auto"/>
        <w:ind w:left="720"/>
      </w:pPr>
      <w:r/>
      <w:r>
        <w:t xml:space="preserve">James Manyika, S.L.M.C. (2017) JOBS LOST, JOBS GAINED: WORKFORCE TRANSITIONS IN A TIME OF AUTOMATION. </w:t>
      </w:r>
      <w:r>
        <w:rPr>
          <w:i/>
        </w:rPr>
        <w:t>McKinsey Global Institute</w:t>
      </w:r>
      <w:r>
        <w:t>, p.160.</w:t>
      </w:r>
    </w:p>
    <w:p>
      <w:pPr>
        <w:pStyle w:val="ListNumber"/>
        <w:spacing w:line="240" w:lineRule="auto"/>
        <w:ind w:left="720"/>
      </w:pPr>
      <w:r/>
      <w:r>
        <w:t xml:space="preserve">Jingili, N. (2023) A systematic review on the efficacy of virtual reality and gamification interventions for managing anxiety and depression. </w:t>
      </w:r>
      <w:r>
        <w:rPr>
          <w:i/>
        </w:rPr>
        <w:t>Frontiers in Digital Health</w:t>
      </w:r>
      <w:r>
        <w:t xml:space="preserve">, 5, Available at: </w:t>
      </w:r>
      <w:hyperlink r:id="rId22">
        <w:r>
          <w:rPr>
            <w:color w:val="0000EE"/>
            <w:u w:val="single"/>
          </w:rPr>
          <w:t>https://doi.org/10.3389/fdgth.2023.1239435</w:t>
        </w:r>
      </w:hyperlink>
      <w:r>
        <w:t>.</w:t>
      </w:r>
    </w:p>
    <w:p>
      <w:pPr>
        <w:pStyle w:val="ListNumber"/>
        <w:spacing w:line="240" w:lineRule="auto"/>
        <w:ind w:left="720"/>
      </w:pPr>
      <w:r/>
      <w:r>
        <w:t xml:space="preserve">Kalantari, S. (2023) Using Immersive Virtual Reality to Enhance Social Interaction Among Older Adults: A Cross-Site Investigation. </w:t>
      </w:r>
      <w:r>
        <w:rPr>
          <w:i/>
        </w:rPr>
        <w:t>Innovation in Aging</w:t>
      </w:r>
      <w:r>
        <w:t>, 7(4).</w:t>
      </w:r>
    </w:p>
    <w:p>
      <w:pPr>
        <w:pStyle w:val="ListNumber"/>
        <w:spacing w:line="240" w:lineRule="auto"/>
        <w:ind w:left="720"/>
      </w:pPr>
      <w:r/>
      <w:r>
        <w:t xml:space="preserve">Kenyon, K., Kinakh, V. &amp; Harrison, J. (2023) Social virtual reality helps to reduce feelings of loneliness and social anxiety during the Covid-19 pandemic. </w:t>
      </w:r>
      <w:r>
        <w:rPr>
          <w:i/>
        </w:rPr>
        <w:t>Scientific Reports</w:t>
      </w:r>
      <w:r>
        <w:t xml:space="preserve">, 13, Available at: </w:t>
      </w:r>
      <w:hyperlink r:id="rId23">
        <w:r>
          <w:rPr>
            <w:color w:val="0000EE"/>
            <w:u w:val="single"/>
          </w:rPr>
          <w:t>https://doi.org/10.1038/s41598-023-46494-1</w:t>
        </w:r>
      </w:hyperlink>
      <w:r>
        <w:t>.</w:t>
      </w:r>
    </w:p>
    <w:p>
      <w:pPr>
        <w:pStyle w:val="ListNumber"/>
        <w:spacing w:line="240" w:lineRule="auto"/>
        <w:ind w:left="720"/>
      </w:pPr>
      <w:r/>
      <w:r>
        <w:t xml:space="preserve">Lee, H.-W., Kim, S. &amp; Uhm, J.-P. (n.d.) Social Virtual Reality (VR) Involvement Affects Depression When Social Connectedness and Self-Esteem Are Low: A Moderated Mediation on Well-Being. </w:t>
      </w:r>
      <w:r>
        <w:rPr>
          <w:i/>
        </w:rPr>
        <w:t>Frontiers in Psychology</w:t>
      </w:r>
      <w:r>
        <w:t xml:space="preserve">, 12, Available at: </w:t>
      </w:r>
      <w:hyperlink r:id="rId24">
        <w:r>
          <w:rPr>
            <w:color w:val="0000EE"/>
            <w:u w:val="single"/>
          </w:rPr>
          <w:t>https://doi.org/10.3389/fpsyg.2021.753019</w:t>
        </w:r>
      </w:hyperlink>
      <w:r>
        <w:t>.</w:t>
      </w:r>
    </w:p>
    <w:p>
      <w:pPr>
        <w:pStyle w:val="ListNumber"/>
        <w:spacing w:line="240" w:lineRule="auto"/>
        <w:ind w:left="720"/>
      </w:pPr>
      <w:r/>
      <w:r>
        <w:t xml:space="preserve">Lundin, R.M. (2023) Adverse Effects of Virtual and Augmented Reality Interventions in Psychiatry: Systematic Review. </w:t>
      </w:r>
      <w:r>
        <w:rPr>
          <w:i/>
        </w:rPr>
        <w:t>JMIR Mental Health</w:t>
      </w:r>
      <w:r>
        <w:t xml:space="preserve">, Available at: </w:t>
      </w:r>
      <w:hyperlink r:id="rId25">
        <w:r>
          <w:rPr>
            <w:color w:val="0000EE"/>
            <w:u w:val="single"/>
          </w:rPr>
          <w:t>https://doi.org/10.2196/43240</w:t>
        </w:r>
      </w:hyperlink>
      <w:r>
        <w:t>.</w:t>
      </w:r>
    </w:p>
    <w:p>
      <w:pPr>
        <w:pStyle w:val="ListNumber"/>
        <w:spacing w:line="240" w:lineRule="auto"/>
        <w:ind w:left="720"/>
      </w:pPr>
      <w:r/>
      <w:r>
        <w:t>Machado. (2025) Virtual Reality: Challenges and Perspectives in Mental Health.</w:t>
      </w:r>
    </w:p>
    <w:p>
      <w:pPr>
        <w:pStyle w:val="ListNumber"/>
        <w:spacing w:line="240" w:lineRule="auto"/>
        <w:ind w:left="720"/>
      </w:pPr>
      <w:r/>
      <w:r>
        <w:t xml:space="preserve">Madary, M. &amp; Metzinger, T.K. (2016) Real Virtuality: A Code of Ethical Conduct for Virtual Reality. </w:t>
      </w:r>
      <w:r>
        <w:rPr>
          <w:i/>
        </w:rPr>
        <w:t>Frontiers in Robotics and AI</w:t>
      </w:r>
      <w:r>
        <w:t>, 3, p.1–23.</w:t>
      </w:r>
    </w:p>
    <w:p>
      <w:pPr>
        <w:pStyle w:val="ListNumber"/>
        <w:spacing w:line="240" w:lineRule="auto"/>
        <w:ind w:left="720"/>
      </w:pPr>
      <w:r/>
      <w:r>
        <w:t xml:space="preserve">Microsoft. (2025) </w:t>
      </w:r>
      <w:r>
        <w:rPr>
          <w:i/>
        </w:rPr>
        <w:t>Microsoft AI Diagnostic Orchestrator Study</w:t>
      </w:r>
      <w:r>
        <w:t>.</w:t>
      </w:r>
    </w:p>
    <w:p>
      <w:pPr>
        <w:pStyle w:val="ListNumber"/>
        <w:spacing w:line="240" w:lineRule="auto"/>
        <w:ind w:left="720"/>
      </w:pPr>
      <w:r/>
      <w:r>
        <w:t xml:space="preserve">MIT/NEJM. (2025) </w:t>
      </w:r>
      <w:r>
        <w:rPr>
          <w:i/>
        </w:rPr>
        <w:t>Patients trust AI medical advice more than doctors', even when incorrect</w:t>
      </w:r>
      <w:r>
        <w:t>. Journal Article or Report.</w:t>
      </w:r>
    </w:p>
    <w:p>
      <w:pPr>
        <w:pStyle w:val="ListNumber"/>
        <w:spacing w:line="240" w:lineRule="auto"/>
        <w:ind w:left="720"/>
      </w:pPr>
      <w:r/>
      <w:r>
        <w:t xml:space="preserve">Restrepo, D.A.a.P. (2019) Automation and New Tasks: How Technology Displaces and Reinstates Labor. </w:t>
      </w:r>
      <w:r>
        <w:rPr>
          <w:i/>
        </w:rPr>
        <w:t>Journal of Economic Perspectives</w:t>
      </w:r>
      <w:r>
        <w:t>, 33, p.30.</w:t>
      </w:r>
    </w:p>
    <w:p>
      <w:pPr>
        <w:pStyle w:val="ListNumber"/>
        <w:spacing w:line="240" w:lineRule="auto"/>
        <w:ind w:left="720"/>
      </w:pPr>
      <w:r/>
      <w:r>
        <w:t xml:space="preserve">URAC. (2026) </w:t>
      </w:r>
      <w:r>
        <w:rPr>
          <w:i/>
        </w:rPr>
        <w:t>Health Care AI in 2026: Governance and Trust Take Center Stage</w:t>
      </w:r>
      <w:r>
        <w:t>.</w:t>
      </w:r>
    </w:p>
    <w:p>
      <w:pPr>
        <w:pStyle w:val="ListNumber"/>
        <w:spacing w:line="240" w:lineRule="auto"/>
        <w:ind w:left="720"/>
      </w:pPr>
      <w:r/>
      <w:r>
        <w:t>Zeng, W. (2025) Effectiveness of virtual reality therapy in the treatment of anxiety disorders in adolescents and adults: a systematic review and meta-analysis of randomized controlled trials.</w:t>
      </w:r>
    </w:p>
    <w:p>
      <w:pPr>
        <w:pStyle w:val="ListNumber"/>
        <w:spacing w:line="240" w:lineRule="auto"/>
        <w:ind w:left="720"/>
      </w:pPr>
      <w:r/>
      <w:r>
        <w:t xml:space="preserve">Wilson, J.L.D. (2025) </w:t>
      </w:r>
      <w:r>
        <w:rPr>
          <w:i/>
        </w:rPr>
        <w:t>AI, war and (in)humanity: the role of human emotions in military decision-making</w:t>
      </w:r>
      <w:r>
        <w:t xml:space="preserve"> [Online]. Available at: </w:t>
      </w:r>
      <w:hyperlink r:id="rId26">
        <w:r>
          <w:rPr>
            <w:color w:val="0000EE"/>
            <w:u w:val="single"/>
          </w:rPr>
          <w:t>https://blogs.icrc.org/law-and-policy/2025/02/20/ai-war-and-in-humanity-the-role-of-human-emotions-in-military-decision-making/</w:t>
        </w:r>
      </w:hyperlink>
      <w:r>
        <w:t xml:space="preserve"> [Accessed 05 March 2026].</w:t>
      </w:r>
    </w:p>
    <w:p>
      <w:pPr>
        <w:pStyle w:val="ListNumber"/>
        <w:spacing w:line="240" w:lineRule="auto"/>
        <w:ind w:left="720"/>
      </w:pPr>
      <w:r/>
      <w:r>
        <w:t xml:space="preserve">Bostrom, N. (2003) Human Genetic Enhancements: A Transhumanist Perspective. </w:t>
      </w:r>
      <w:r>
        <w:rPr>
          <w:i/>
        </w:rPr>
        <w:t>The Journal of Value Inquiry</w:t>
      </w:r>
      <w:r>
        <w:t>, 37(4), p.493–506.</w:t>
      </w:r>
    </w:p>
    <w:p>
      <w:pPr>
        <w:pStyle w:val="ListNumber"/>
        <w:spacing w:line="240" w:lineRule="auto"/>
        <w:ind w:left="720"/>
      </w:pPr>
      <w:r/>
      <w:r>
        <w:t xml:space="preserve">Fukuyama, F. (2002) </w:t>
      </w:r>
      <w:r>
        <w:rPr>
          <w:i/>
        </w:rPr>
        <w:t>Our Posthuman Future: Consequences of the Biotechnology Revolution</w:t>
      </w:r>
      <w:r>
        <w:t>. New York: Farrar, Straus and Giroux.</w:t>
      </w:r>
    </w:p>
    <w:p>
      <w:pPr>
        <w:pStyle w:val="ListNumber"/>
        <w:spacing w:line="240" w:lineRule="auto"/>
        <w:ind w:left="720"/>
      </w:pPr>
      <w:r/>
      <w:r>
        <w:t xml:space="preserve">Habermas, J. (2003) </w:t>
      </w:r>
      <w:r>
        <w:rPr>
          <w:i/>
        </w:rPr>
        <w:t>The Future of Human Nature</w:t>
      </w:r>
      <w:r>
        <w:t>. Cambridge: Polity Press.</w:t>
      </w:r>
    </w:p>
    <w:p>
      <w:pPr>
        <w:pStyle w:val="ListNumber"/>
        <w:spacing w:line="240" w:lineRule="auto"/>
        <w:ind w:left="720"/>
      </w:pPr>
      <w:r/>
      <w:r>
        <w:t xml:space="preserve">Kant, I. (1993) </w:t>
      </w:r>
      <w:r>
        <w:rPr>
          <w:i/>
        </w:rPr>
        <w:t>Groundwork of the Metaphysics of Morals</w:t>
      </w:r>
      <w:r>
        <w:t>. Cambridge: Cambridge University Press.</w:t>
      </w:r>
    </w:p>
    <w:p>
      <w:pPr>
        <w:pStyle w:val="ListNumber"/>
        <w:spacing w:line="240" w:lineRule="auto"/>
        <w:ind w:left="720"/>
      </w:pPr>
      <w:r/>
      <w:r>
        <w:t xml:space="preserve">Kass, L. (2003) </w:t>
      </w:r>
      <w:r>
        <w:rPr>
          <w:i/>
        </w:rPr>
        <w:t>Life, Liberty and the Defense of Dignity</w:t>
      </w:r>
      <w:r>
        <w:t>. San Francisco: Encounter Books.</w:t>
      </w:r>
    </w:p>
    <w:p>
      <w:pPr>
        <w:pStyle w:val="ListNumber"/>
        <w:spacing w:line="240" w:lineRule="auto"/>
        <w:ind w:left="720"/>
      </w:pPr>
      <w:r/>
      <w:r>
        <w:t xml:space="preserve">Lev, O. (2011) Will biomedical enhancements undermine solidarity, responsibility, equality and autonomy? </w:t>
      </w:r>
      <w:r>
        <w:rPr>
          <w:i/>
        </w:rPr>
        <w:t>Bioethics</w:t>
      </w:r>
      <w:r>
        <w:t>, 25(9), pp.508-15.</w:t>
      </w:r>
    </w:p>
    <w:p>
      <w:pPr>
        <w:pStyle w:val="ListNumber"/>
        <w:spacing w:line="240" w:lineRule="auto"/>
        <w:ind w:left="720"/>
      </w:pPr>
      <w:r/>
      <w:r>
        <w:t xml:space="preserve">Sandel, M.J. (2007) </w:t>
      </w:r>
      <w:r>
        <w:rPr>
          <w:i/>
        </w:rPr>
        <w:t>The Case Against Perfection: Ethics in the Age of Genetic Engineering</w:t>
      </w:r>
      <w:r>
        <w:t>. Cambridge: Harvard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_Toc223808768" TargetMode="External"/><Relationship Id="rId10" Type="http://schemas.openxmlformats.org/officeDocument/2006/relationships/hyperlink" Target="#_Toc223808769" TargetMode="External"/><Relationship Id="rId11" Type="http://schemas.openxmlformats.org/officeDocument/2006/relationships/hyperlink" Target="#_Toc223808770" TargetMode="External"/><Relationship Id="rId12" Type="http://schemas.openxmlformats.org/officeDocument/2006/relationships/hyperlink" Target="#_Toc223808771" TargetMode="External"/><Relationship Id="rId13" Type="http://schemas.openxmlformats.org/officeDocument/2006/relationships/hyperlink" Target="#_Toc223808772" TargetMode="External"/><Relationship Id="rId14" Type="http://schemas.openxmlformats.org/officeDocument/2006/relationships/hyperlink" Target="#_Toc223808773" TargetMode="External"/><Relationship Id="rId15" Type="http://schemas.openxmlformats.org/officeDocument/2006/relationships/hyperlink" Target="#_Toc223808774" TargetMode="External"/><Relationship Id="rId16" Type="http://schemas.openxmlformats.org/officeDocument/2006/relationships/hyperlink" Target="#_Toc223808775" TargetMode="External"/><Relationship Id="rId17" Type="http://schemas.openxmlformats.org/officeDocument/2006/relationships/hyperlink" Target="#_Toc223808776" TargetMode="External"/><Relationship Id="rId18" Type="http://schemas.openxmlformats.org/officeDocument/2006/relationships/hyperlink" Target="#_Toc223808777" TargetMode="External"/><Relationship Id="rId19" Type="http://schemas.openxmlformats.org/officeDocument/2006/relationships/hyperlink" Target="https://doi.org/10.1016/j.techfore.2016.08.019" TargetMode="External"/><Relationship Id="rId20" Type="http://schemas.openxmlformats.org/officeDocument/2006/relationships/hyperlink" Target="https://doi.org/10.1080/01612840.2023.2190051" TargetMode="External"/><Relationship Id="rId21" Type="http://schemas.openxmlformats.org/officeDocument/2006/relationships/hyperlink" Target="https://doi.org/10.1787/9ee00155-en" TargetMode="External"/><Relationship Id="rId22" Type="http://schemas.openxmlformats.org/officeDocument/2006/relationships/hyperlink" Target="https://doi.org/10.3389/fdgth.2023.1239435" TargetMode="External"/><Relationship Id="rId23" Type="http://schemas.openxmlformats.org/officeDocument/2006/relationships/hyperlink" Target="https://doi.org/10.1038/s41598-023-46494-1" TargetMode="External"/><Relationship Id="rId24" Type="http://schemas.openxmlformats.org/officeDocument/2006/relationships/hyperlink" Target="https://doi.org/10.3389/fpsyg.2021.753019" TargetMode="External"/><Relationship Id="rId25" Type="http://schemas.openxmlformats.org/officeDocument/2006/relationships/hyperlink" Target="https://doi.org/10.2196/43240" TargetMode="External"/><Relationship Id="rId26" Type="http://schemas.openxmlformats.org/officeDocument/2006/relationships/hyperlink" Target="https://blogs.icrc.org/law-and-policy/2025/02/20/ai-war-and-in-humanity-the-role-of-human-emotions-in-military-decision-ma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