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i w:val="false"/>
          <w:iCs w:val="false"/>
          <w:color w:val="00A1FD"/>
          <w:sz w:val="20"/>
          <w:szCs w:val="20"/>
        </w:rPr>
        <w:t xml:space="preserve">WEEK 4 · FINAL PROJECT</w:t>
      </w:r>
    </w:p>
    <w:p>
      <w:pPr>
        <w:spacing w:after="60" w:before="120"/>
      </w:pPr>
      <w:r>
        <w:rPr>
          <w:rFonts w:ascii="Arial" w:cs="Arial" w:eastAsia="Arial" w:hAnsi="Arial"/>
          <w:b/>
          <w:bCs/>
          <w:i w:val="false"/>
          <w:iCs w:val="false"/>
          <w:color w:val="04214B"/>
          <w:sz w:val="34"/>
          <w:szCs w:val="34"/>
        </w:rPr>
        <w:t xml:space="preserve">AI-Powered Legal &amp; Governance Platform — Rasikh</w:t>
      </w:r>
    </w:p>
    <w:p>
      <w:pPr>
        <w:pBdr>
          <w:bottom w:val="single" w:color="00A1FD" w:sz="18"/>
        </w:pBdr>
        <w:spacing w:after="160" w:before="0"/>
      </w:pPr>
      <w:r>
        <w:rPr>
          <w:rFonts w:ascii="Arial" w:cs="Arial" w:eastAsia="Arial" w:hAnsi="Arial"/>
          <w:b w:val="false"/>
          <w:bCs w:val="false"/>
          <w:i w:val="false"/>
          <w:iCs w:val="false"/>
          <w:color w:val="1A2233"/>
          <w:sz w:val="2"/>
          <w:szCs w:val="2"/>
        </w:rPr>
        <w:t xml:space="preserve"/>
      </w:r>
    </w:p>
    <w:p>
      <w:pPr>
        <w:spacing w:after="120" w:before="0" w:line="276"/>
      </w:pPr>
      <w:r>
        <w:rPr>
          <w:rFonts w:ascii="Arial" w:cs="Arial" w:eastAsia="Arial" w:hAnsi="Arial"/>
          <w:b w:val="false"/>
          <w:bCs w:val="false"/>
          <w:i w:val="false"/>
          <w:iCs w:val="false"/>
          <w:color w:val="1A2233"/>
          <w:sz w:val="21"/>
          <w:szCs w:val="21"/>
        </w:rPr>
        <w:t xml:space="preserve">This is your final project: a complete, working product — the kind a real company would put in front of its team. You’ll design it, build it, and present it, on your own, over the week. Everything you need is in this brief and the data that comes with it. You’ll build it with AI tools — that’s expected — and what matters is that the product works and that you can explain every part of it.</w:t>
      </w:r>
    </w:p>
    <w:p>
      <w:pPr>
        <w:keepNext/>
        <w:spacing w:after="80" w:before="240"/>
      </w:pPr>
      <w:r>
        <w:rPr>
          <w:rFonts w:ascii="Arial" w:cs="Arial" w:eastAsia="Arial" w:hAnsi="Arial"/>
          <w:b/>
          <w:bCs/>
          <w:i w:val="false"/>
          <w:iCs w:val="false"/>
          <w:color w:val="04214B"/>
          <w:sz w:val="26"/>
          <w:szCs w:val="26"/>
        </w:rPr>
        <w:t xml:space="preserve">The brief</w:t>
      </w:r>
    </w:p>
    <w:p>
      <w:pPr>
        <w:spacing w:after="120" w:before="0" w:line="276"/>
      </w:pPr>
      <w:r>
        <w:rPr>
          <w:rFonts w:ascii="Arial" w:cs="Arial" w:eastAsia="Arial" w:hAnsi="Arial"/>
          <w:b w:val="false"/>
          <w:bCs w:val="false"/>
          <w:i w:val="false"/>
          <w:iCs w:val="false"/>
          <w:color w:val="1A2233"/>
          <w:sz w:val="21"/>
          <w:szCs w:val="21"/>
        </w:rPr>
        <w:t xml:space="preserve">Rasikh is a legal and governance firm whose lawyers manage contracts, board and entity obligations, and client questions across 150 client organisations. Today a lawyer opens the matter, reads the contract by hand, checks it against the firm’s standard, remembers the deadlines, and answers from experience. It doesn’t scale; renewal windows slip past; two lawyers rate the same contract differently; a partner-level question gets answered off the cuff; and confidential files sit in folders anyone could open. Your product is Rasikh’s assistant: it takes a request, checks the asker is on that matter, reads the contract or the file, reviews it clause by clause against the firm’s standard, tracks the obligations and prepares the meetings, and drafts an answer — every finding tied to a clause it can point to, the hard questions sent to a lawyer, and nothing shown to anyone who isn’t on the matter. It’s a legal-operations product with a lawyer still in control of every answer that leaves the firm.</w:t>
      </w:r>
    </w:p>
    <w:p>
      <w:pPr>
        <w:keepNext/>
        <w:spacing w:after="80" w:before="240"/>
      </w:pPr>
      <w:r>
        <w:rPr>
          <w:rFonts w:ascii="Arial" w:cs="Arial" w:eastAsia="Arial" w:hAnsi="Arial"/>
          <w:b/>
          <w:bCs/>
          <w:i w:val="false"/>
          <w:iCs w:val="false"/>
          <w:color w:val="04214B"/>
          <w:sz w:val="26"/>
          <w:szCs w:val="26"/>
        </w:rPr>
        <w:t xml:space="preserve">How the product decides</w:t>
      </w:r>
    </w:p>
    <w:tbl>
      <w:tblPr>
        <w:tblW w:type="dxa" w:w="9360"/>
        <w:tblBorders>
          <w:top w:val="single" w:color="04214B" w:sz="8"/>
          <w:left w:val="single" w:color="04214B" w:sz="8"/>
          <w:bottom w:val="single" w:color="04214B" w:sz="8"/>
          <w:right w:val="single" w:color="04214B" w:sz="8"/>
          <w:insideH w:val="single" w:sz="4"/>
          <w:insideV w:val="single" w:sz="4"/>
        </w:tblBorders>
      </w:tblPr>
      <w:tblGrid>
        <w:gridCol w:w="9360"/>
      </w:tblGrid>
      <w:tr>
        <w:trPr>
          <w:cantSplit/>
        </w:trPr>
        <w:tc>
          <w:tcPr>
            <w:tcW w:type="dxa" w:w="9360"/>
            <w:shd w:fill="04214B" w:val="clear"/>
            <w:tcMar>
              <w:top w:type="dxa" w:w="150"/>
              <w:left w:type="dxa" w:w="210"/>
              <w:bottom w:type="dxa" w:w="150"/>
              <w:right w:type="dxa" w:w="210"/>
            </w:tcMar>
          </w:tcPr>
          <w:p>
            <w:pPr>
              <w:spacing w:after="7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takes in a request — review this contract, answer this question, prep this meeting, what’s due — and works out which matter it belongs to and what’s being asked.</w:t>
            </w:r>
          </w:p>
          <w:p>
            <w:pPr>
              <w:spacing w:after="7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checks the asker is on that matter’s team before any document is opened — and stops here if they’re not.</w:t>
            </w:r>
          </w:p>
          <w:p>
            <w:pPr>
              <w:spacing w:after="7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reads the contracts and files on the matter, and searches the firm’s review standard for the clauses that apply.</w:t>
            </w:r>
          </w:p>
          <w:p>
            <w:pPr>
              <w:spacing w:after="7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reviews clause by clause, rates the risk, detects the Sharia-sensitive terms, and tracks the obligations — tying every finding to the clause it came from.</w:t>
            </w:r>
          </w:p>
          <w:p>
            <w:pPr>
              <w:spacing w:after="7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sends the hard ones — litigation, a statutory question, a Sharia ruling, a missed deadline — to a lawyer, and drafts the rest with their citations.</w:t>
            </w:r>
          </w:p>
          <w:p>
            <w:pPr>
              <w:spacing w:after="0" w:before="0"/>
            </w:pPr>
            <w:r>
              <w:rPr>
                <w:rFonts w:ascii="Arial" w:cs="Arial" w:eastAsia="Arial" w:hAnsi="Arial"/>
                <w:b/>
                <w:bCs/>
                <w:i w:val="false"/>
                <w:iCs w:val="false"/>
                <w:color w:val="4BD1FB"/>
                <w:sz w:val="21"/>
                <w:szCs w:val="21"/>
              </w:rPr>
              <w:t xml:space="preserve">→ </w:t>
            </w:r>
            <w:r>
              <w:rPr>
                <w:rFonts w:ascii="Arial" w:cs="Arial" w:eastAsia="Arial" w:hAnsi="Arial"/>
                <w:b w:val="false"/>
                <w:bCs w:val="false"/>
                <w:i w:val="false"/>
                <w:iCs w:val="false"/>
                <w:color w:val="FFFFFF"/>
                <w:sz w:val="21"/>
                <w:szCs w:val="21"/>
              </w:rPr>
              <w:t xml:space="preserve">It hands nothing to a client until a lawyer approves, and shows no file to anyone off the matter.</w:t>
            </w:r>
          </w:p>
        </w:tc>
      </w:tr>
    </w:tbl>
    <w:p>
      <w:pPr>
        <w:keepNext/>
        <w:spacing w:after="80" w:before="240"/>
      </w:pPr>
      <w:r>
        <w:rPr>
          <w:rFonts w:ascii="Arial" w:cs="Arial" w:eastAsia="Arial" w:hAnsi="Arial"/>
          <w:b/>
          <w:bCs/>
          <w:i w:val="false"/>
          <w:iCs w:val="false"/>
          <w:color w:val="04214B"/>
          <w:sz w:val="26"/>
          <w:szCs w:val="26"/>
        </w:rPr>
        <w:t xml:space="preserve">Ground rules</w:t>
      </w:r>
    </w:p>
    <w:tbl>
      <w:tblPr>
        <w:tblW w:type="dxa" w:w="9360"/>
        <w:tblBorders>
          <w:top w:val="single" w:color="00A1FD" w:sz="8"/>
          <w:left w:val="single" w:color="00A1FD" w:sz="8"/>
          <w:bottom w:val="single" w:color="00A1FD" w:sz="8"/>
          <w:right w:val="single" w:color="00A1FD" w:sz="8"/>
          <w:insideH w:val="single" w:sz="4"/>
          <w:insideV w:val="single"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It lives on GitHub. </w:t>
            </w:r>
            <w:r>
              <w:rPr>
                <w:rFonts w:ascii="Arial" w:cs="Arial" w:eastAsia="Arial" w:hAnsi="Arial"/>
                <w:b w:val="false"/>
                <w:bCs w:val="false"/>
                <w:i w:val="false"/>
                <w:iCs w:val="false"/>
                <w:color w:val="1A2233"/>
                <w:sz w:val="21"/>
                <w:szCs w:val="21"/>
              </w:rPr>
              <w:t xml:space="preserve">Your work sits in a Git repository (public or private) with a README that says how to run it, and commits made as you go — not one big upload at the end.</w:t>
            </w:r>
          </w:p>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Design before you build. </w:t>
            </w:r>
            <w:r>
              <w:rPr>
                <w:rFonts w:ascii="Arial" w:cs="Arial" w:eastAsia="Arial" w:hAnsi="Arial"/>
                <w:b w:val="false"/>
                <w:bCs w:val="false"/>
                <w:i w:val="false"/>
                <w:iCs w:val="false"/>
                <w:color w:val="1A2233"/>
                <w:sz w:val="21"/>
                <w:szCs w:val="21"/>
              </w:rPr>
              <w:t xml:space="preserve">Three short design documents come first and are part of what you hand in — the PRD, the System Architecture, and the Data Schema (ERD), described below.</w:t>
            </w:r>
          </w:p>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Use AI tools — and own what they produce. </w:t>
            </w:r>
            <w:r>
              <w:rPr>
                <w:rFonts w:ascii="Arial" w:cs="Arial" w:eastAsia="Arial" w:hAnsi="Arial"/>
                <w:b w:val="false"/>
                <w:bCs w:val="false"/>
                <w:i w:val="false"/>
                <w:iCs w:val="false"/>
                <w:color w:val="1A2233"/>
                <w:sz w:val="21"/>
                <w:szCs w:val="21"/>
              </w:rPr>
              <w:t xml:space="preserve">You’re expected to build with AI assistance, but every part is yours to explain: what it does, why a finding was rated as it was, why a question was escalated, and how a file stays sealed from anyone off the matter. Don’t ship what you can’t explain.</w:t>
            </w:r>
          </w:p>
          <w:p>
            <w:pPr>
              <w:pStyle w:val="ListParagraph"/>
              <w:numPr>
                <w:ilvl w:val="0"/>
                <w:numId w:val="2"/>
              </w:numPr>
              <w:spacing w:after="0" w:before="0" w:line="268"/>
            </w:pPr>
            <w:r>
              <w:rPr>
                <w:rFonts w:ascii="Arial" w:cs="Arial" w:eastAsia="Arial" w:hAnsi="Arial"/>
                <w:b/>
                <w:bCs/>
                <w:i w:val="false"/>
                <w:iCs w:val="false"/>
                <w:color w:val="04214B"/>
                <w:sz w:val="21"/>
                <w:szCs w:val="21"/>
              </w:rPr>
              <w:t xml:space="preserve">Present it at the end. </w:t>
            </w:r>
            <w:r>
              <w:rPr>
                <w:rFonts w:ascii="Arial" w:cs="Arial" w:eastAsia="Arial" w:hAnsi="Arial"/>
                <w:b w:val="false"/>
                <w:bCs w:val="false"/>
                <w:i w:val="false"/>
                <w:iCs w:val="false"/>
                <w:color w:val="1A2233"/>
                <w:sz w:val="21"/>
                <w:szCs w:val="21"/>
              </w:rPr>
              <w:t xml:space="preserve">You’ll show your product live to the group and talk through how you built it.</w:t>
            </w:r>
          </w:p>
        </w:tc>
      </w:tr>
    </w:tbl>
    <w:p>
      <w:pPr>
        <w:keepNext/>
        <w:spacing w:after="80" w:before="240"/>
      </w:pPr>
      <w:r>
        <w:rPr>
          <w:rFonts w:ascii="Arial" w:cs="Arial" w:eastAsia="Arial" w:hAnsi="Arial"/>
          <w:b/>
          <w:bCs/>
          <w:i w:val="false"/>
          <w:iCs w:val="false"/>
          <w:color w:val="04214B"/>
          <w:sz w:val="26"/>
          <w:szCs w:val="26"/>
        </w:rPr>
        <w:t xml:space="preserve">Start by designing it</w:t>
      </w:r>
    </w:p>
    <w:p>
      <w:pPr>
        <w:spacing w:after="120" w:before="0" w:line="276"/>
      </w:pPr>
      <w:r>
        <w:rPr>
          <w:rFonts w:ascii="Arial" w:cs="Arial" w:eastAsia="Arial" w:hAnsi="Arial"/>
          <w:b w:val="false"/>
          <w:bCs w:val="false"/>
          <w:i w:val="false"/>
          <w:iCs w:val="false"/>
          <w:color w:val="1A2233"/>
          <w:sz w:val="21"/>
          <w:szCs w:val="21"/>
        </w:rPr>
        <w:t xml:space="preserve">Before you build, produce these three. Keep each short — together they should be enough that someone else could build the right product from them.</w:t>
      </w:r>
    </w:p>
    <w:tbl>
      <w:tblPr>
        <w:tblW w:type="dxa" w:w="9360"/>
        <w:tblBorders>
          <w:top w:val="single" w:color="00A1FD" w:sz="8"/>
          <w:left w:val="single" w:color="00A1FD" w:sz="8"/>
          <w:bottom w:val="single" w:color="00A1FD" w:sz="8"/>
          <w:right w:val="single" w:color="00A1FD" w:sz="8"/>
          <w:insideH w:val="single" w:sz="4"/>
          <w:insideV w:val="single"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PRD (Product Requirements Document). </w:t>
            </w:r>
            <w:r>
              <w:rPr>
                <w:rFonts w:ascii="Arial" w:cs="Arial" w:eastAsia="Arial" w:hAnsi="Arial"/>
                <w:b w:val="false"/>
                <w:bCs w:val="false"/>
                <w:i w:val="false"/>
                <w:iCs w:val="false"/>
                <w:color w:val="1A2233"/>
                <w:sz w:val="21"/>
                <w:szCs w:val="21"/>
              </w:rPr>
              <w:t xml:space="preserve">What you’re building and why: the goal, who uses it, what it must do, and what “done” looks like. Plain language, no technology.</w:t>
            </w:r>
          </w:p>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System Architecture. </w:t>
            </w:r>
            <w:r>
              <w:rPr>
                <w:rFonts w:ascii="Arial" w:cs="Arial" w:eastAsia="Arial" w:hAnsi="Arial"/>
                <w:b w:val="false"/>
                <w:bCs w:val="false"/>
                <w:i w:val="false"/>
                <w:iCs w:val="false"/>
                <w:color w:val="1A2233"/>
                <w:sz w:val="21"/>
                <w:szCs w:val="21"/>
              </w:rPr>
              <w:t xml:space="preserve">The parts of your product — the intake, the access check, the review-and-answer engine, the obligations calendar, the approval screen, and the documents and standard behind them — and how a request flows through, stopped at the matter’s wall.</w:t>
            </w:r>
          </w:p>
          <w:p>
            <w:pPr>
              <w:pStyle w:val="ListParagraph"/>
              <w:numPr>
                <w:ilvl w:val="0"/>
                <w:numId w:val="2"/>
              </w:numPr>
              <w:spacing w:after="0" w:before="0" w:line="268"/>
            </w:pPr>
            <w:r>
              <w:rPr>
                <w:rFonts w:ascii="Arial" w:cs="Arial" w:eastAsia="Arial" w:hAnsi="Arial"/>
                <w:b/>
                <w:bCs/>
                <w:i w:val="false"/>
                <w:iCs w:val="false"/>
                <w:color w:val="04214B"/>
                <w:sz w:val="21"/>
                <w:szCs w:val="21"/>
              </w:rPr>
              <w:t xml:space="preserve">Data Schema (ERD). </w:t>
            </w:r>
            <w:r>
              <w:rPr>
                <w:rFonts w:ascii="Arial" w:cs="Arial" w:eastAsia="Arial" w:hAnsi="Arial"/>
                <w:b w:val="false"/>
                <w:bCs w:val="false"/>
                <w:i w:val="false"/>
                <w:iCs w:val="false"/>
                <w:color w:val="1A2233"/>
                <w:sz w:val="21"/>
                <w:szCs w:val="21"/>
              </w:rPr>
              <w:t xml:space="preserve">The things your product stores — organisations, team and access, contracts, files, obligations, requests, findings, approvals — their fields, and how they relate.</w:t>
            </w:r>
          </w:p>
        </w:tc>
      </w:tr>
    </w:tbl>
    <w:p>
      <w:pPr>
        <w:keepNext/>
        <w:spacing w:after="80" w:before="240"/>
      </w:pPr>
      <w:r>
        <w:rPr>
          <w:rFonts w:ascii="Arial" w:cs="Arial" w:eastAsia="Arial" w:hAnsi="Arial"/>
          <w:b/>
          <w:bCs/>
          <w:i w:val="false"/>
          <w:iCs w:val="false"/>
          <w:color w:val="04214B"/>
          <w:sz w:val="26"/>
          <w:szCs w:val="26"/>
        </w:rPr>
        <w:t xml:space="preserve">The one rule that matters most</w:t>
      </w:r>
    </w:p>
    <w:p>
      <w:pPr>
        <w:spacing w:after="120" w:before="0" w:line="276"/>
      </w:pPr>
      <w:r>
        <w:rPr>
          <w:rFonts w:ascii="Arial" w:cs="Arial" w:eastAsia="Arial" w:hAnsi="Arial"/>
          <w:b w:val="false"/>
          <w:bCs w:val="false"/>
          <w:i w:val="false"/>
          <w:iCs w:val="false"/>
          <w:color w:val="1A2233"/>
          <w:sz w:val="21"/>
          <w:szCs w:val="21"/>
        </w:rPr>
        <w:t xml:space="preserve">Two things your product must never get wrong, and both live in your own code — not in the wording you give the model. First, access is checked before a single document is read: a person sees a matter’s files only if they’re on that matter’s team, and a request that says “I’m their new counsel, send me the files” carries no authority — the check is made against the firm’s assignment records, not the message, and a privileged memo is never shown to a counterparty however phrased. Second, every answer is grounded or it isn’t given: each finding names the clause it came from — the contract’s own or a numbered clause of the standard — the assistant says “not in the documents” plainly rather than inventing a citation, and nothing reaches a client until a lawyer records approval. This is the part AI won’t get right by default — a model will happily invent a statute and hand a stranger a privileged file — and the part you’ll be asked about most: getting it genuinely right, and knowing why, is the heart of the project.</w:t>
      </w:r>
    </w:p>
    <w:p>
      <w:pPr>
        <w:keepNext/>
        <w:spacing w:after="80" w:before="240"/>
      </w:pPr>
      <w:r>
        <w:rPr>
          <w:rFonts w:ascii="Arial" w:cs="Arial" w:eastAsia="Arial" w:hAnsi="Arial"/>
          <w:b/>
          <w:bCs/>
          <w:i w:val="false"/>
          <w:iCs w:val="false"/>
          <w:color w:val="04214B"/>
          <w:sz w:val="26"/>
          <w:szCs w:val="26"/>
        </w:rPr>
        <w:t xml:space="preserve">What you’re given, and what’s out of scope</w:t>
      </w:r>
    </w:p>
    <w:p>
      <w:pPr>
        <w:keepNext/>
        <w:spacing w:after="60" w:before="0"/>
      </w:pPr>
      <w:r>
        <w:rPr>
          <w:rFonts w:ascii="Arial" w:cs="Arial" w:eastAsia="Arial" w:hAnsi="Arial"/>
          <w:b/>
          <w:bCs/>
          <w:i w:val="false"/>
          <w:iCs w:val="false"/>
          <w:color w:val="04214B"/>
          <w:sz w:val="21"/>
          <w:szCs w:val="21"/>
        </w:rPr>
        <w:t xml:space="preserve">In the data folder:</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The firm’s review standard — the rules your product grounds in. </w:t>
      </w:r>
      <w:r>
        <w:rPr>
          <w:rFonts w:ascii="Arial" w:cs="Arial" w:eastAsia="Arial" w:hAnsi="Arial"/>
          <w:b w:val="false"/>
          <w:bCs w:val="false"/>
          <w:i w:val="false"/>
          <w:iCs w:val="false"/>
          <w:color w:val="1A2233"/>
          <w:sz w:val="21"/>
          <w:szCs w:val="21"/>
        </w:rPr>
        <w:t xml:space="preserve">How the firm reads its obligations — the two gates (cite-or-say-you-can’t, lawyer approval, access-by-matter, privilege), the review checklist, the risk taxonomy, the Sharia-sensitive constructs to flag, obligation thresholds, and escalation — about thirty-five numbered clauses. Too long to hand over in one go, so your product searches it and works from the clause it finds — including the tricky pairs: fixed-term expiry vs auto-renewal, capped vs uncapped liability, a term to flag for scholar review vs one to answer.</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The firm and the matters — lookups, always read behind the access check. </w:t>
      </w:r>
      <w:r>
        <w:rPr>
          <w:rFonts w:ascii="Arial" w:cs="Arial" w:eastAsia="Arial" w:hAnsi="Arial"/>
          <w:b w:val="false"/>
          <w:bCs w:val="false"/>
          <w:i w:val="false"/>
          <w:iCs w:val="false"/>
          <w:color w:val="1A2233"/>
          <w:sz w:val="21"/>
          <w:szCs w:val="21"/>
        </w:rPr>
        <w:t xml:space="preserve">firm_team.json — 10 members with role and the matters each may access (partners firm-wide; associates and paralegals scoped to named orgs). organizations.json — 150 client orgs with sector, type, assigned team. obligations.json — deadlines with owners, seeded so the calendar has real work: one overdue, one urgent, one in the reminder window.</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The contracts, the data room, and the requests — your product’s inputs, and its test set. </w:t>
      </w:r>
      <w:r>
        <w:rPr>
          <w:rFonts w:ascii="Arial" w:cs="Arial" w:eastAsia="Arial" w:hAnsi="Arial"/>
          <w:b w:val="false"/>
          <w:bCs w:val="false"/>
          <w:i w:val="false"/>
          <w:iCs w:val="false"/>
          <w:color w:val="1A2233"/>
          <w:sz w:val="21"/>
          <w:szCs w:val="21"/>
        </w:rPr>
        <w:t xml:space="preserve">Twelve short contracts (three in Arabic) carrying the checklist’s pairs — fixed-expiry vs auto-renew, capped vs uncapped, late-payment interest and penalties, missing governing law. Six data-room files, one privileged. And 27 typed requests (two in Arabic) seeding your test set across every decision: reviews, grounded consultations, meeting prep, obligation checks, escalations (litigation, a statutory question, a Sharia ruling, a missed deadline), requests too thin to act on, an honest “not in the documents,” and the rule-breakers — a privileged-file grab from outside the matter, and an order to invent a citation and skip approval.</w:t>
      </w:r>
    </w:p>
    <w:p>
      <w:pPr>
        <w:keepNext/>
        <w:spacing w:after="60" w:before="0"/>
      </w:pPr>
      <w:r>
        <w:rPr>
          <w:rFonts w:ascii="Arial" w:cs="Arial" w:eastAsia="Arial" w:hAnsi="Arial"/>
          <w:b/>
          <w:bCs/>
          <w:i w:val="false"/>
          <w:iCs w:val="false"/>
          <w:color w:val="04214B"/>
          <w:sz w:val="21"/>
          <w:szCs w:val="21"/>
        </w:rPr>
        <w:t xml:space="preserve">Out of scope — don’t build these:</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Real statutes and Sharia rulings </w:t>
      </w:r>
      <w:r>
        <w:rPr>
          <w:rFonts w:ascii="Arial" w:cs="Arial" w:eastAsia="Arial" w:hAnsi="Arial"/>
          <w:b w:val="false"/>
          <w:bCs w:val="false"/>
          <w:i w:val="false"/>
          <w:iCs w:val="false"/>
          <w:color w:val="1A2233"/>
          <w:sz w:val="21"/>
          <w:szCs w:val="21"/>
        </w:rPr>
        <w:t xml:space="preserve">— you don’t cite Saudi law or rule on Sharia compliance. The corpus is the firm’s own standard; Sharia-sensitive terms are detected and flagged for the firm’s scholar, never ruled on.</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Litigation handling </w:t>
      </w:r>
      <w:r>
        <w:rPr>
          <w:rFonts w:ascii="Arial" w:cs="Arial" w:eastAsia="Arial" w:hAnsi="Arial"/>
          <w:b w:val="false"/>
          <w:bCs w:val="false"/>
          <w:i w:val="false"/>
          <w:iCs w:val="false"/>
          <w:color w:val="1A2233"/>
          <w:sz w:val="21"/>
          <w:szCs w:val="21"/>
        </w:rPr>
        <w:t xml:space="preserve">— disputes are always escalated to a lawyer, not worked by the product.</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The other modules </w:t>
      </w:r>
      <w:r>
        <w:rPr>
          <w:rFonts w:ascii="Arial" w:cs="Arial" w:eastAsia="Arial" w:hAnsi="Arial"/>
          <w:b w:val="false"/>
          <w:bCs w:val="false"/>
          <w:i w:val="false"/>
          <w:iCs w:val="false"/>
          <w:color w:val="1A2233"/>
          <w:sz w:val="21"/>
          <w:szCs w:val="21"/>
        </w:rPr>
        <w:t xml:space="preserve">— a board portal, e-signature, and entity filings are future modules of the platform vision; you build the assistant over contracts, governance, and consultations only.</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Live document sending </w:t>
      </w:r>
      <w:r>
        <w:rPr>
          <w:rFonts w:ascii="Arial" w:cs="Arial" w:eastAsia="Arial" w:hAnsi="Arial"/>
          <w:b w:val="false"/>
          <w:bCs w:val="false"/>
          <w:i w:val="false"/>
          <w:iCs w:val="false"/>
          <w:color w:val="1A2233"/>
          <w:sz w:val="21"/>
          <w:szCs w:val="21"/>
        </w:rPr>
        <w:t xml:space="preserve">— answers and memos are drafted and approved on screen; nothing is delivered to a client or counterparty.</w:t>
      </w:r>
    </w:p>
    <w:p>
      <w:pPr>
        <w:keepNext/>
        <w:spacing w:after="80" w:before="240"/>
      </w:pPr>
      <w:r>
        <w:rPr>
          <w:rFonts w:ascii="Arial" w:cs="Arial" w:eastAsia="Arial" w:hAnsi="Arial"/>
          <w:b/>
          <w:bCs/>
          <w:i w:val="false"/>
          <w:iCs w:val="false"/>
          <w:color w:val="04214B"/>
          <w:sz w:val="26"/>
          <w:szCs w:val="26"/>
        </w:rPr>
        <w:t xml:space="preserve">What your product must do</w:t>
      </w:r>
    </w:p>
    <w:p>
      <w:pPr>
        <w:spacing w:after="120" w:before="0" w:line="276"/>
      </w:pPr>
      <w:r>
        <w:rPr>
          <w:rFonts w:ascii="Arial" w:cs="Arial" w:eastAsia="Arial" w:hAnsi="Arial"/>
          <w:b w:val="false"/>
          <w:bCs w:val="false"/>
          <w:i w:val="false"/>
          <w:iCs w:val="false"/>
          <w:color w:val="1A2233"/>
          <w:sz w:val="21"/>
          <w:szCs w:val="21"/>
        </w:rPr>
        <w:t xml:space="preserve">All of the following are required.</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Take every request in, and check access before opening anything. </w:t>
      </w:r>
      <w:r>
        <w:rPr>
          <w:rFonts w:ascii="Arial" w:cs="Arial" w:eastAsia="Arial" w:hAnsi="Arial"/>
          <w:b w:val="false"/>
          <w:bCs w:val="false"/>
          <w:i w:val="false"/>
          <w:iCs w:val="false"/>
          <w:color w:val="1A2233"/>
          <w:sz w:val="21"/>
          <w:szCs w:val="21"/>
        </w:rPr>
        <w:t xml:space="preserve">A request enters as a file naming its matter and asker; the intake classifies it — review, consultation, meeting prep, obligation check. Then, against firm_team.json and the matter’s assigned team, the product confirms the asker may see the matter — in code, before any document is read. A request from off the matter, or for a privileged file from outside it, is refused, logged, and escalated — no content shown.</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Review and answer through the guarded engine. </w:t>
      </w:r>
      <w:r>
        <w:rPr>
          <w:rFonts w:ascii="Arial" w:cs="Arial" w:eastAsia="Arial" w:hAnsi="Arial"/>
          <w:b w:val="false"/>
          <w:bCs w:val="false"/>
          <w:i w:val="false"/>
          <w:iCs w:val="false"/>
          <w:color w:val="1A2233"/>
          <w:sz w:val="21"/>
          <w:szCs w:val="21"/>
        </w:rPr>
        <w:t xml:space="preserve">For a contract, it works the checklist clause by clause — term and renewal, liability, payment, termination, governing law, gaps — rates each finding’s risk, and flags Sharia-sensitive terms for scholar review. A consultation is answered only from what it can ground; meeting prep is assembled from the matter’s files; obligations checked against the calendar.</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Ground every finding, or say you can’t. </w:t>
      </w:r>
      <w:r>
        <w:rPr>
          <w:rFonts w:ascii="Arial" w:cs="Arial" w:eastAsia="Arial" w:hAnsi="Arial"/>
          <w:b w:val="false"/>
          <w:bCs w:val="false"/>
          <w:i w:val="false"/>
          <w:iCs w:val="false"/>
          <w:color w:val="1A2233"/>
          <w:sz w:val="21"/>
          <w:szCs w:val="21"/>
        </w:rPr>
        <w:t xml:space="preserve">Every finding, rating, and answer names its source — the contract’s clause or a numbered clause of the standard; change a clause and the review changes with it. When the answer isn’t in the documents, the product says so plainly and stops — it never invents a citation. The tricky pairs come out right: a fixed-term expiry is not reported as an auto-renewal, a capped liability with an uncapped carve-out is reported as uncapped, and the Arabic contracts are reviewed in Arabic, cited to the Arabic clauses.</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Escalate the hard ones and track the calendar. </w:t>
      </w:r>
      <w:r>
        <w:rPr>
          <w:rFonts w:ascii="Arial" w:cs="Arial" w:eastAsia="Arial" w:hAnsi="Arial"/>
          <w:b w:val="false"/>
          <w:bCs w:val="false"/>
          <w:i w:val="false"/>
          <w:iCs w:val="false"/>
          <w:color w:val="1A2233"/>
          <w:sz w:val="21"/>
          <w:szCs w:val="21"/>
        </w:rPr>
        <w:t xml:space="preserve">Litigation, a question turning on a statute’s current text, a request to rule on Sharia compliance, and an already-missed deadline go to a lawyer with the file and no drafted answer. Everything else on the calendar is sorted — overdue, urgent, reminder, on track — by the standard’s thresholds, naming obligation, org, date, and owner, and escalating the overdue at once.</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Put lawyers in the loop, and show the state of the work. </w:t>
      </w:r>
      <w:r>
        <w:rPr>
          <w:rFonts w:ascii="Arial" w:cs="Arial" w:eastAsia="Arial" w:hAnsi="Arial"/>
          <w:b w:val="false"/>
          <w:bCs w:val="false"/>
          <w:i w:val="false"/>
          <w:iCs w:val="false"/>
          <w:color w:val="1A2233"/>
          <w:sz w:val="21"/>
          <w:szCs w:val="21"/>
        </w:rPr>
        <w:t xml:space="preserve">A queue where a lawyer sees each drafted review, answer, and alert with its citations, to approve, edit, or reject before anything is final, with a matter’s request history visible end to end; and a counts panel — reviews by risk, requests by decision, obligations by band, what’s awaiting approval. A counts panel, not a full dashboard.</w:t>
      </w:r>
    </w:p>
    <w:p>
      <w:pPr>
        <w:pStyle w:val="ListParagraph"/>
        <w:numPr>
          <w:ilvl w:val="0"/>
          <w:numId w:val="2"/>
        </w:numPr>
        <w:spacing w:after="90" w:before="0" w:line="268"/>
      </w:pPr>
      <w:r>
        <w:rPr>
          <w:rFonts w:ascii="Arial" w:cs="Arial" w:eastAsia="Arial" w:hAnsi="Arial"/>
          <w:b/>
          <w:bCs/>
          <w:i w:val="false"/>
          <w:iCs w:val="false"/>
          <w:color w:val="1A2233"/>
          <w:sz w:val="21"/>
          <w:szCs w:val="21"/>
        </w:rPr>
        <w:t xml:space="preserve">Come designed, live on GitHub, and be proven. </w:t>
      </w:r>
      <w:r>
        <w:rPr>
          <w:rFonts w:ascii="Arial" w:cs="Arial" w:eastAsia="Arial" w:hAnsi="Arial"/>
          <w:b w:val="false"/>
          <w:bCs w:val="false"/>
          <w:i w:val="false"/>
          <w:iCs w:val="false"/>
          <w:color w:val="1A2233"/>
          <w:sz w:val="21"/>
          <w:szCs w:val="21"/>
        </w:rPr>
        <w:t xml:space="preserve">Your PRD, Architecture, and Data Schema (ERD) written before you build; committed as you go with a README; and a test set of around fifteen requests judged on outcome (decision, access call, citations) and process (steps, clauses, gates held), plus one obligations sweep against the seeded calendar, with a short write-up of what passed, what failed, and why.</w:t>
      </w:r>
    </w:p>
    <w:p>
      <w:pPr>
        <w:keepNext/>
        <w:spacing w:after="80" w:before="240"/>
      </w:pPr>
      <w:r>
        <w:rPr>
          <w:rFonts w:ascii="Arial" w:cs="Arial" w:eastAsia="Arial" w:hAnsi="Arial"/>
          <w:b/>
          <w:bCs/>
          <w:i w:val="false"/>
          <w:iCs w:val="false"/>
          <w:color w:val="04214B"/>
          <w:sz w:val="26"/>
          <w:szCs w:val="26"/>
        </w:rPr>
        <w:t xml:space="preserve">How you’ll present it</w:t>
      </w:r>
    </w:p>
    <w:p>
      <w:pPr>
        <w:spacing w:after="120" w:before="0" w:line="276"/>
      </w:pPr>
      <w:r>
        <w:rPr>
          <w:rFonts w:ascii="Arial" w:cs="Arial" w:eastAsia="Arial" w:hAnsi="Arial"/>
          <w:b w:val="false"/>
          <w:bCs w:val="false"/>
          <w:i w:val="false"/>
          <w:iCs w:val="false"/>
          <w:color w:val="1A2233"/>
          <w:sz w:val="21"/>
          <w:szCs w:val="21"/>
        </w:rPr>
        <w:t xml:space="preserve">At the end you’ll present to the group — no fixed length; cover the ground, not a clock. Walk the product live — a contract review from intake to cited, approved findings, the obligations sweep surfacing the overdue and the urgent, then a hard one (the privileged-file grab, the invent-a-citation order, or the Sharia-ruling request) — showing the review screen and counts panel; then explain your design (PRD, architecture, data schema) and your evaluation: what you tested, what passed, what didn’t, and what you’d fix next.</w:t>
      </w:r>
    </w:p>
    <w:p>
      <w:pPr>
        <w:spacing w:after="80" w:before="240"/>
      </w:pPr>
      <w:r>
        <w:rPr>
          <w:rFonts w:ascii="Arial" w:cs="Arial" w:eastAsia="Arial" w:hAnsi="Arial"/>
          <w:b/>
          <w:bCs/>
          <w:i w:val="false"/>
          <w:iCs w:val="false"/>
          <w:color w:val="04214B"/>
          <w:sz w:val="26"/>
          <w:szCs w:val="26"/>
        </w:rPr>
        <w:t xml:space="preserve">What you hand in</w:t>
      </w:r>
    </w:p>
    <w:tbl>
      <w:tblPr>
        <w:tblW w:type="dxa" w:w="9360"/>
        <w:tblBorders>
          <w:top w:val="single" w:color="00A1FD" w:sz="8"/>
          <w:left w:val="single" w:color="00A1FD" w:sz="8"/>
          <w:bottom w:val="single" w:color="00A1FD" w:sz="8"/>
          <w:right w:val="single" w:color="00A1FD" w:sz="8"/>
          <w:insideH w:val="single" w:sz="4"/>
          <w:insideV w:val="single"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The working product </w:t>
            </w:r>
            <w:r>
              <w:rPr>
                <w:rFonts w:ascii="Arial" w:cs="Arial" w:eastAsia="Arial" w:hAnsi="Arial"/>
                <w:b w:val="false"/>
                <w:bCs w:val="false"/>
                <w:i w:val="false"/>
                <w:iCs w:val="false"/>
                <w:color w:val="1A2233"/>
                <w:sz w:val="21"/>
                <w:szCs w:val="21"/>
              </w:rPr>
              <w:t xml:space="preserve">— on GitHub, with a README explaining how to run it.</w:t>
            </w:r>
          </w:p>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The three design documents </w:t>
            </w:r>
            <w:r>
              <w:rPr>
                <w:rFonts w:ascii="Arial" w:cs="Arial" w:eastAsia="Arial" w:hAnsi="Arial"/>
                <w:b w:val="false"/>
                <w:bCs w:val="false"/>
                <w:i w:val="false"/>
                <w:iCs w:val="false"/>
                <w:color w:val="1A2233"/>
                <w:sz w:val="21"/>
                <w:szCs w:val="21"/>
              </w:rPr>
              <w:t xml:space="preserve">— your PRD, System Architecture, and Data Schema (ERD).</w:t>
            </w:r>
          </w:p>
          <w:p>
            <w:pPr>
              <w:pStyle w:val="ListParagraph"/>
              <w:numPr>
                <w:ilvl w:val="0"/>
                <w:numId w:val="2"/>
              </w:numPr>
              <w:spacing w:after="90" w:before="0" w:line="268"/>
            </w:pPr>
            <w:r>
              <w:rPr>
                <w:rFonts w:ascii="Arial" w:cs="Arial" w:eastAsia="Arial" w:hAnsi="Arial"/>
                <w:b/>
                <w:bCs/>
                <w:i w:val="false"/>
                <w:iCs w:val="false"/>
                <w:color w:val="04214B"/>
                <w:sz w:val="21"/>
                <w:szCs w:val="21"/>
              </w:rPr>
              <w:t xml:space="preserve">The evaluation </w:t>
            </w:r>
            <w:r>
              <w:rPr>
                <w:rFonts w:ascii="Arial" w:cs="Arial" w:eastAsia="Arial" w:hAnsi="Arial"/>
                <w:b w:val="false"/>
                <w:bCs w:val="false"/>
                <w:i w:val="false"/>
                <w:iCs w:val="false"/>
                <w:color w:val="1A2233"/>
                <w:sz w:val="21"/>
                <w:szCs w:val="21"/>
              </w:rPr>
              <w:t xml:space="preserve">— your test set, the results, and the short write-up.</w:t>
            </w:r>
          </w:p>
          <w:p>
            <w:pPr>
              <w:pStyle w:val="ListParagraph"/>
              <w:numPr>
                <w:ilvl w:val="0"/>
                <w:numId w:val="2"/>
              </w:numPr>
              <w:spacing w:after="0" w:before="0" w:line="268"/>
            </w:pPr>
            <w:r>
              <w:rPr>
                <w:rFonts w:ascii="Arial" w:cs="Arial" w:eastAsia="Arial" w:hAnsi="Arial"/>
                <w:b/>
                <w:bCs/>
                <w:i w:val="false"/>
                <w:iCs w:val="false"/>
                <w:color w:val="04214B"/>
                <w:sz w:val="21"/>
                <w:szCs w:val="21"/>
              </w:rPr>
              <w:t xml:space="preserve">Your presentation. </w:t>
            </w:r>
            <w:r>
              <w:rPr>
                <w:rFonts w:ascii="Arial" w:cs="Arial" w:eastAsia="Arial" w:hAnsi="Arial"/>
                <w:b w:val="false"/>
                <w:bCs w:val="false"/>
                <w:i w:val="false"/>
                <w:iCs w:val="false"/>
                <w:color w:val="1A2233"/>
                <w:sz w:val="21"/>
                <w:szCs w:val="21"/>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pPr>
    <w:r>
      <w:rPr>
        <w:rFonts w:ascii="Arial" w:cs="Arial" w:eastAsia="Arial" w:hAnsi="Arial"/>
        <w:color w:val="6B7280"/>
        <w:sz w:val="18"/>
        <w:szCs w:val="18"/>
      </w:rPr>
      <w:t xml:space="preserve">Exology Pioneer Program · Week 4 · Final Project</w:t>
    </w:r>
    <w:r>
      <w:rPr>
        <w:rFonts w:ascii="Arial" w:cs="Arial" w:eastAsia="Arial" w:hAnsi="Arial"/>
      </w:rPr>
      <w:ptab w:alignment="right" w:relativeTo="margin" w:leader="none"/>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5600"/>
      <w:gridCol w:w="3760"/>
    </w:tblGrid>
    <w:tr>
      <w:tc>
        <w:tcPr>
          <w:tcW w:type="dxa" w:w="5600"/>
          <w:shd w:fill="04214B" w:val="clear"/>
          <w:tcMar>
            <w:top w:type="dxa" w:w="90"/>
            <w:left w:type="dxa" w:w="160"/>
            <w:bottom w:type="dxa" w:w="90"/>
            <w:right w:type="dxa" w:w="80"/>
          </w:tcMar>
          <w:vAlign w:val="center"/>
        </w:tcPr>
        <w:p>
          <w:r>
            <w:drawing>
              <wp:inline distT="0" distB="0" distL="0" distR="0">
                <wp:extent cx="1428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66725"/>
                        </a:xfrm>
                        <a:prstGeom prst="rect">
                          <a:avLst/>
                        </a:prstGeom>
                      </pic:spPr>
                    </pic:pic>
                  </a:graphicData>
                </a:graphic>
              </wp:inline>
            </w:drawing>
          </w:r>
        </w:p>
      </w:tc>
      <w:tc>
        <w:tcPr>
          <w:tcW w:type="dxa" w:w="3760"/>
          <w:shd w:fill="04214B" w:val="clear"/>
          <w:tcMar>
            <w:top w:type="dxa" w:w="90"/>
            <w:left w:type="dxa" w:w="80"/>
            <w:bottom w:type="dxa" w:w="90"/>
            <w:right w:type="dxa" w:w="200"/>
          </w:tcMar>
          <w:vAlign w:val="center"/>
        </w:tcPr>
        <w:p>
          <w:pPr>
            <w:jc w:val="right"/>
          </w:pPr>
          <w:r>
            <w:rPr>
              <w:rFonts w:ascii="Arial" w:cs="Arial" w:eastAsia="Arial" w:hAnsi="Arial"/>
              <w:b/>
              <w:bCs/>
              <w:color w:val="FFFFFF"/>
              <w:sz w:val="22"/>
              <w:szCs w:val="22"/>
            </w:rPr>
            <w:t xml:space="preserve">EPP - 2026</w:t>
          </w:r>
        </w:p>
      </w:tc>
    </w:tr>
  </w:tbl>
  <w:p>
    <w:pPr>
      <w:spacing w:after="0"/>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2aaccdfc0a4abcc6dedb533484b729dba33c9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2026-08-19T09:30:16.365Z</dcterms:created>
  <dcterms:modified xsi:type="dcterms:W3CDTF">2026-08-19T09:30:16.365Z</dcterms:modified>
</cp:coreProperties>
</file>

<file path=docProps/custom.xml><?xml version="1.0" encoding="utf-8"?>
<Properties xmlns="http://schemas.openxmlformats.org/officeDocument/2006/custom-properties" xmlns:vt="http://schemas.openxmlformats.org/officeDocument/2006/docPropsVTypes"/>
</file>