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color w:val="1F3864"/>
          <w:sz w:val="28"/>
          <w:szCs w:val="28"/>
        </w:rPr>
        <w:t xml:space="preserve">ProfitLoop AI: A Closed-Loop Intelligent Retail Recovery System</w:t>
      </w:r>
    </w:p>
    <w:p>
      <w:pPr>
        <w:spacing w:after="140" w:before="0" w:line="280"/>
        <w:jc w:val="center"/>
      </w:pPr>
      <w:r>
        <w:rPr>
          <w:rFonts w:ascii="Times New Roman" w:cs="Times New Roman" w:eastAsia="Times New Roman" w:hAnsi="Times New Roman"/>
          <w:b/>
          <w:bCs/>
          <w:i w:val="false"/>
          <w:iCs w:val="false"/>
          <w:color w:val="1F3864"/>
          <w:sz w:val="28"/>
          <w:szCs w:val="28"/>
        </w:rPr>
        <w:t xml:space="preserve">for Operational Waste Reduction</w:t>
      </w:r>
    </w:p>
    <w:p>
      <w:pPr>
        <w:spacing w:after="50" w:before="0" w:line="280"/>
        <w:jc w:val="center"/>
      </w:pPr>
      <w:r>
        <w:rPr>
          <w:rFonts w:ascii="Times New Roman" w:cs="Times New Roman" w:eastAsia="Times New Roman" w:hAnsi="Times New Roman"/>
          <w:b w:val="false"/>
          <w:bCs w:val="false"/>
          <w:i/>
          <w:iCs/>
          <w:color w:val="444444"/>
          <w:sz w:val="22"/>
          <w:szCs w:val="22"/>
        </w:rPr>
        <w:t xml:space="preserve">Samira Ismayilova</w:t>
      </w:r>
    </w:p>
    <w:p>
      <w:pPr>
        <w:spacing w:after="200" w:before="0" w:line="280"/>
        <w:jc w:val="center"/>
      </w:pPr>
      <w:r>
        <w:rPr>
          <w:rFonts w:ascii="Times New Roman" w:cs="Times New Roman" w:eastAsia="Times New Roman" w:hAnsi="Times New Roman"/>
          <w:b w:val="false"/>
          <w:bCs w:val="false"/>
          <w:i/>
          <w:iCs/>
          <w:color w:val="666666"/>
          <w:sz w:val="21"/>
          <w:szCs w:val="21"/>
        </w:rPr>
        <w:t xml:space="preserve">Computer Engineering, Baku Higher Oil School, Baku, Azerbaijan</w:t>
      </w:r>
    </w:p>
    <w:p>
      <w:pPr>
        <w:pStyle w:val="Heading1"/>
        <w:spacing w:after="120" w:before="240"/>
      </w:pPr>
      <w:r>
        <w:rPr>
          <w:rFonts w:ascii="Times New Roman" w:cs="Times New Roman" w:eastAsia="Times New Roman" w:hAnsi="Times New Roman"/>
          <w:b/>
          <w:bCs/>
          <w:color w:val="1F3864"/>
          <w:sz w:val="26"/>
          <w:szCs w:val="26"/>
        </w:rPr>
        <w:t xml:space="preserve">Abstract</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This paper presents ProfitLoop AI, an autonomous closed-loop intelligent system designed to detect, analyse, and recover operational waste in multi-branch retail environments. The system integrates a rule-based waste risk scoring engine, a category-aware dynamic markdown optimiser, a cross-branch inventory redistribution module, and a loyalty campaign targeting engine into a single autonomous pipeline. Deployed as a Python-based MVP and demonstrated on synthetic retail operational datasets modelled on real-world retail behaviour across five Bravo supermarket branches and eight perishable product categories, ProfitLoop AI identified critical waste risks with projected losses up to ₼2,159 per branch, generated optimal recovery strategies yielding ₼77.09 in discount profit and ₼203.67 in loyalty revenue from a single product incident, and recommended nine cross-branch redistribution transfers. The closed-loop architecture — in which each recovery action feeds back into the risk model — distinguishes the system from existing single-function tools and constitutes its primary scientific contribution.</w:t>
      </w:r>
    </w:p>
    <w:p>
      <w:pPr>
        <w:spacing w:after="200" w:before="80" w:line="280"/>
        <w:jc w:val="both"/>
      </w:pPr>
      <w:r>
        <w:rPr>
          <w:rFonts w:ascii="Times New Roman" w:cs="Times New Roman" w:eastAsia="Times New Roman" w:hAnsi="Times New Roman"/>
          <w:b/>
          <w:bCs/>
          <w:i w:val="false"/>
          <w:iCs w:val="false"/>
          <w:color w:val="000000"/>
          <w:sz w:val="22"/>
          <w:szCs w:val="22"/>
        </w:rPr>
        <w:t xml:space="preserve">Keywords: </w:t>
      </w:r>
      <w:r>
        <w:rPr>
          <w:rFonts w:ascii="Times New Roman" w:cs="Times New Roman" w:eastAsia="Times New Roman" w:hAnsi="Times New Roman"/>
          <w:b w:val="false"/>
          <w:bCs w:val="false"/>
          <w:i w:val="false"/>
          <w:iCs w:val="false"/>
          <w:color w:val="000000"/>
          <w:sz w:val="22"/>
          <w:szCs w:val="22"/>
        </w:rPr>
        <w:t xml:space="preserve">retail AI, waste risk scoring, closed-loop recovery, dynamic markdown, redistribution intelligence, loyalty optimisation, autonomous systems</w:t>
      </w:r>
    </w:p>
    <w:p>
      <w:pPr>
        <w:pStyle w:val="Heading1"/>
        <w:spacing w:after="120" w:before="240"/>
      </w:pPr>
      <w:r>
        <w:rPr>
          <w:rFonts w:ascii="Times New Roman" w:cs="Times New Roman" w:eastAsia="Times New Roman" w:hAnsi="Times New Roman"/>
          <w:b/>
          <w:bCs/>
          <w:color w:val="1F3864"/>
          <w:sz w:val="26"/>
          <w:szCs w:val="26"/>
        </w:rPr>
        <w:t xml:space="preserve">1. Introduction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Perishable inventory waste is a critical operational and financial challenge for multi-branch retail operators. Unsold stock approaching expiry generates direct financial losses through disposal and markdown costs, indirect losses through capital lock-up, and broader environmental impact through food waste and unnecessary CO₂ emissions. In Azerbaijan's growing modern retail sector — exemplified by chains such as Bravo, which operates more than 50 urban branches — these losses compound rapidly across product categories and locations.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Existing software solutions address isolated fragments of the problem: dynamic pricing tools such as Wasteless apply discounts automatically, demand forecasting platforms such as Afresh optimise ordering, and decision-support dashboards such as Logile visualise inventory health. None of these systems, however, closes the loop: they do not connect risk detection, financial modelling, strategy selection, execution, and outcome measurement into a single autonomous pipeline. Each intervention remains a one-off action rather than a self-reinforcing cycle.</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This paper introduces ProfitLoop AI, a closed-loop intelligent retail recovery system that unifies these functions. The proposed architecture is designed around the operational realities of large-scale supermarket chains such as Bravo, Azerbaijan’s leading multi-branch retail operator. The system is novel in three respects: (i) it combines multiple AI sub-engines — risk scoring, discount optimisation, redistribution planning, and loyalty targeting — into one autonomous workflow; (ii) it closes the feedback loop by feeding recovery outcomes back into subsequent risk assessments; and (iii) it is designed for non-invasive deployment as an API layer on top of existing retail infrastructure, requiring no replacement of incumbent systems.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paper is organised as follows. Section 2 reviews related work. Section 3 describes the system architecture and its five modules. Section 4 details the implementation methodology and dataset. Section 5 presents experimental results. Section 6 concludes and outlines future directions.</w:t>
      </w:r>
    </w:p>
    <w:p>
      <w:pPr>
        <w:pStyle w:val="Heading1"/>
        <w:spacing w:after="120" w:before="240"/>
      </w:pPr>
      <w:r>
        <w:rPr>
          <w:rFonts w:ascii="Times New Roman" w:cs="Times New Roman" w:eastAsia="Times New Roman" w:hAnsi="Times New Roman"/>
          <w:b/>
          <w:bCs/>
          <w:color w:val="1F3864"/>
          <w:sz w:val="26"/>
          <w:szCs w:val="26"/>
        </w:rPr>
        <w:t xml:space="preserve">2. Related Work</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Demand forecasting and waste reduction in retail have attracted substantial research attention. Classical time-series models (ARIMA, Holt-Winters) provide interpretable baselines but fail to capture nonlinear interactions between expiry windows, promotional calendars, and multi-branch dynamics [1]. Gradient-boosted tree models, particularly XGBoost, consistently outperform classical methods on tabular retail data by learning complex feature interactions without hand-engineering [2].</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Dynamic markdown optimisation has been studied extensively in revenue management. Reinforcement-learning approaches frame markdown scheduling as a Markov decision process, learning optimal discount trajectories under stochastic demand [3]. Rule-based heuristics with category-specific parameters offer a simpler, more deployable alternative that trades theoretical optimality for operational robustness — the approach adopted in ProfitLoop AI.</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Cross-store inventory redistribution has been modelled as a vehicle-routing problem and as a linear programme; both formulations optimise transfer quantities and routing costs [4]. Loyalty programme integration for targeted markdown delivery — using cashback and point-reward systems as channels for personalised promotions — is an emerging area connecting CRM analytics with real-time inventory management [5].</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distinguishing feature of ProfitLoop AI relative to prior work is its integration of all the above sub-problems into a single closed-loop pipeline, combined with a non-invasive deployment model suited to retail operators with incumbent IT infrastructure.</w:t>
      </w:r>
    </w:p>
    <w:p>
      <w:pPr>
        <w:pStyle w:val="Heading1"/>
        <w:spacing w:after="120" w:before="240"/>
      </w:pPr>
      <w:r>
        <w:rPr>
          <w:rFonts w:ascii="Times New Roman" w:cs="Times New Roman" w:eastAsia="Times New Roman" w:hAnsi="Times New Roman"/>
          <w:b/>
          <w:bCs/>
          <w:color w:val="1F3864"/>
          <w:sz w:val="26"/>
          <w:szCs w:val="26"/>
        </w:rPr>
        <w:t xml:space="preserve">3. System Architecture</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ProfitLoop AI is structured around five sequential modules that form a closed feedback loop, as summarised in Table 1. Data flows from ingestion through risk scoring, financial modelling, and autonomous execution, with outcome metrics fed back to the risk engine for continuous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3826"/>
        <w:gridCol w:w="3000"/>
      </w:tblGrid>
      <w:tr>
        <w:tc>
          <w:tcPr>
            <w:tcW w:type="dxa" w:w="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Module</w:t>
            </w:r>
          </w:p>
        </w:tc>
        <w:tc>
          <w:tcPr>
            <w:tcW w:type="dxa" w:w="3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Function</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Key Output</w:t>
            </w:r>
          </w:p>
        </w:tc>
      </w:tr>
      <w:tr>
        <w:tc>
          <w:tcPr>
            <w:tcW w:type="dxa" w:w="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Data Ingestion Layer</w:t>
            </w:r>
          </w:p>
        </w:tc>
        <w:tc>
          <w:tcPr>
            <w:tcW w:type="dxa" w:w="38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Aggregates POS transactions, inventory snapshots, expiry data, loyalty records via REST API and batch CSV import</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Normalised retail_df (40 SKUs × 5 branches)</w:t>
            </w:r>
          </w:p>
        </w:tc>
      </w:tr>
      <w:tr>
        <w:tc>
          <w:tcPr>
            <w:tcW w:type="dxa" w:w="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Waste Risk Scoring Engine</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Computes composite risk score (0–100) from expiry urgency (45 pts), overstock level (30 pts), and sales velocity (30 pts)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risk_score per SKU; HIGH / MEDIUM / LOW classification</w:t>
            </w:r>
          </w:p>
        </w:tc>
      </w:tr>
      <w:tr>
        <w:tc>
          <w:tcPr>
            <w:tcW w:type="dxa" w:w="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3</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Financial Loss &amp; Discount Optimiser</w:t>
            </w:r>
          </w:p>
        </w:tc>
        <w:tc>
          <w:tcPr>
            <w:tcW w:type="dxa" w:w="38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Projects financial loss; evaluates discount scenarios (10–40%) with category-specific caps and urgency-adjusted conversion rates</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projected_loss_azn, optimal_discount_pct, recovered_profit_azn</w:t>
            </w:r>
          </w:p>
        </w:tc>
      </w:tr>
      <w:tr>
        <w:tc>
          <w:tcPr>
            <w:tcW w:type="dxa" w:w="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Redistribution Intelligence Engine</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Identifies excess-stock branches (stock &gt; 80, velocity &lt; 20) and high-demand branches (stock &lt; 90, velocity &gt; 15); generates net-profitable transfer plans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Transfer recommendations: from_branch → to_branch, quantity, net_value_azn</w:t>
            </w:r>
          </w:p>
        </w:tc>
      </w:tr>
      <w:tr>
        <w:tc>
          <w:tcPr>
            <w:tcW w:type="dxa" w:w="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5</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Loyalty Campaign &amp; Autonomous Execution</w:t>
            </w:r>
          </w:p>
        </w:tc>
        <w:tc>
          <w:tcPr>
            <w:tcW w:type="dxa" w:w="38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Selects target customers via BirBonus/Umico cashback profiles (proximity, category preference, purchase frequency); dispatches personalised push notifications; logs execution and measures outcomes</w:t>
            </w:r>
          </w:p>
        </w:tc>
        <w:tc>
          <w:tcPr>
            <w:tcW w:type="dxa" w:w="3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Targeted customers, estimated conversions, loyalty revenue recovery, CO₂ reduction metric</w:t>
            </w:r>
          </w:p>
        </w:tc>
      </w:tr>
    </w:tbl>
    <w:p>
      <w:pPr>
        <w:spacing w:after="160" w:before="40"/>
        <w:jc w:val="center"/>
      </w:pPr>
      <w:r>
        <w:rPr>
          <w:rFonts w:ascii="Times New Roman" w:cs="Times New Roman" w:eastAsia="Times New Roman" w:hAnsi="Times New Roman"/>
          <w:i/>
          <w:iCs/>
          <w:color w:val="555555"/>
          <w:sz w:val="19"/>
          <w:szCs w:val="19"/>
        </w:rPr>
        <w:t xml:space="preserve">Table 1. ProfitLoop AI module overview and data flow.</w:t>
      </w:r>
    </w:p>
    <w:p>
      <w:pPr>
        <w:pStyle w:val="Heading2"/>
        <w:spacing w:after="80" w:before="180"/>
      </w:pPr>
      <w:r>
        <w:rPr>
          <w:rFonts w:ascii="Times New Roman" w:cs="Times New Roman" w:eastAsia="Times New Roman" w:hAnsi="Times New Roman"/>
          <w:b/>
          <w:bCs/>
          <w:color w:val="1F3864"/>
          <w:sz w:val="23"/>
          <w:szCs w:val="23"/>
        </w:rPr>
        <w:t xml:space="preserve">3.1 Risk Scoring Algorithm</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risk scoring engine assigns each SKU a composite score R ∈ [0, 100] computed as:</w:t>
      </w:r>
    </w:p>
    <w:p>
      <w:pPr>
        <w:spacing w:after="60" w:before="60" w:line="280"/>
        <w:jc w:val="center"/>
      </w:pPr>
      <w:r>
        <w:rPr>
          <w:rFonts w:ascii="Times New Roman" w:cs="Times New Roman" w:eastAsia="Times New Roman" w:hAnsi="Times New Roman"/>
          <w:b/>
          <w:bCs/>
          <w:i w:val="false"/>
          <w:iCs w:val="false"/>
          <w:color w:val="000000"/>
          <w:sz w:val="22"/>
          <w:szCs w:val="22"/>
        </w:rPr>
        <w:t xml:space="preserve">R = min(E + O + V, 100)</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where E is the expiry component (45 pts if expiry ≤ 1 day, 35 pts if ≤ 2 days, 20 pts if ≤ 4 days), O is the overstock component (30 pts if stock ≥ 220, 20 pts if ≥ 150, 10 pts if ≥ 100), and V is the velocity component (30 pts if velocity ≤ 8 units/day, 20 pts if ≤ 15, 10 pts if ≤ 25). SKUs with R ≥ 55 are classified HIGH risk; R ≥ 35 as MEDIUM; and R &lt; 35 as LOW.</w:t>
      </w:r>
    </w:p>
    <w:p>
      <w:pPr>
        <w:pStyle w:val="Heading2"/>
        <w:spacing w:after="80" w:before="180"/>
      </w:pPr>
      <w:r>
        <w:rPr>
          <w:rFonts w:ascii="Times New Roman" w:cs="Times New Roman" w:eastAsia="Times New Roman" w:hAnsi="Times New Roman"/>
          <w:b/>
          <w:bCs/>
          <w:color w:val="1F3864"/>
          <w:sz w:val="23"/>
          <w:szCs w:val="23"/>
        </w:rPr>
        <w:t xml:space="preserve">3.2 Discount Optimisation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For each high-risk SKU, the optimiser evaluates a discrete set of discount levels D ∈ {10%, 15%, 20%, 25%, 30%, 35%, 40%} subject to category-specific upper bounds (Fruits: 40%, Meat: 35%, Dairy: 30%, Bakery: 25%, Vegetables: 30%). The expected recovery for discount level d is:</w:t>
      </w:r>
    </w:p>
    <w:p>
      <w:pPr>
        <w:spacing w:after="60" w:before="60" w:line="280"/>
        <w:jc w:val="center"/>
      </w:pPr>
      <w:r>
        <w:rPr>
          <w:rFonts w:ascii="Times New Roman" w:cs="Times New Roman" w:eastAsia="Times New Roman" w:hAnsi="Times New Roman"/>
          <w:b/>
          <w:bCs/>
          <w:i w:val="false"/>
          <w:iCs w:val="false"/>
          <w:color w:val="000000"/>
          <w:sz w:val="22"/>
          <w:szCs w:val="22"/>
        </w:rPr>
        <w:t xml:space="preserve">Revenue(d) = waste_qty × β(d) × urgency_factor × price × (1 − d)</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where β(d) is an empirically calibrated conversion rate mapping (10%→0.20, 15%→0.32, 20%→0.45, 25%→0.58, 30%→0.68, 35%→0.76, 40%→0.83) and urgency_factor = 1.15 when expiry ≤ 1 day, capped at 0.95. The optimal discount d* maximises Revenue(d).</w:t>
      </w:r>
    </w:p>
    <w:p>
      <w:pPr>
        <w:pStyle w:val="Heading2"/>
        <w:spacing w:after="80" w:before="180"/>
      </w:pPr>
      <w:r>
        <w:rPr>
          <w:rFonts w:ascii="Times New Roman" w:cs="Times New Roman" w:eastAsia="Times New Roman" w:hAnsi="Times New Roman"/>
          <w:b/>
          <w:bCs/>
          <w:color w:val="1F3864"/>
          <w:sz w:val="23"/>
          <w:szCs w:val="23"/>
        </w:rPr>
        <w:t xml:space="preserve">3.3 Closed-Loop Feedback Mechanism</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After autonomous execution, actual units sold, loyalty conversions, and remaining waste are recorded and passed back to the risk engine as updated stock_quantity and effective sales_velocity values for the next scoring cycle. This feedback loop enables the system to learn from each intervention without requiring a separate model retraining step — a lightweight but effective form of online adaptation.</w:t>
      </w:r>
    </w:p>
    <w:p>
      <w:pPr>
        <w:pStyle w:val="Heading1"/>
        <w:spacing w:after="120" w:before="240"/>
      </w:pPr>
      <w:r>
        <w:rPr>
          <w:rFonts w:ascii="Times New Roman" w:cs="Times New Roman" w:eastAsia="Times New Roman" w:hAnsi="Times New Roman"/>
          <w:b/>
          <w:bCs/>
          <w:color w:val="1F3864"/>
          <w:sz w:val="26"/>
          <w:szCs w:val="26"/>
        </w:rPr>
        <w:t xml:space="preserve">4. Methodology and Implementation</w:t>
      </w:r>
    </w:p>
    <w:p>
      <w:pPr>
        <w:pStyle w:val="Heading2"/>
        <w:spacing w:after="80" w:before="180"/>
      </w:pPr>
      <w:r>
        <w:rPr>
          <w:rFonts w:ascii="Times New Roman" w:cs="Times New Roman" w:eastAsia="Times New Roman" w:hAnsi="Times New Roman"/>
          <w:b/>
          <w:bCs/>
          <w:color w:val="1F3864"/>
          <w:sz w:val="23"/>
          <w:szCs w:val="23"/>
        </w:rPr>
        <w:t xml:space="preserve">4.1 Dataset</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A synthetic retail operational dataset, modelled on real-world retail behaviour, was generated using stochastically parameterised product profiles covering eight perishable categories (Dairy, Bakery, Fruits, Vegetables, Meat) across five Bravo branch locations in Baku (Yasamal, Xətai, Nərimanov, Binəqedi, Suraxanı). Table 2 summarises the dataset dimensions and parameter ranges.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26"/>
        <w:gridCol w:w="1600"/>
        <w:gridCol w:w="24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Category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Products</w:t>
            </w:r>
          </w:p>
        </w:tc>
        <w:tc>
          <w:tcPr>
            <w:tcW w:type="dxa" w:w="1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Stock Range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Expiry (days)</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Sales Velocity (units/day)</w:t>
            </w:r>
          </w:p>
        </w:tc>
      </w:tr>
      <w:tr>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Dairy</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Milk, Cheese, Kefir</w:t>
            </w:r>
          </w:p>
        </w:tc>
        <w:tc>
          <w:tcPr>
            <w:tcW w:type="dxa" w:w="1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40–180</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1–10</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8–40</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Bakery</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Bread</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100–250</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1–2</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40–80</w:t>
            </w:r>
          </w:p>
        </w:tc>
      </w:tr>
      <w:tr>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Fruits</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Strawberry, Banana</w:t>
            </w:r>
          </w:p>
        </w:tc>
        <w:tc>
          <w:tcPr>
            <w:tcW w:type="dxa" w:w="1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20–180</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1–6</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5–35</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Vegetables</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Tomato</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40–150</w:t>
            </w:r>
          </w:p>
        </w:tc>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2–5</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10–30</w:t>
            </w:r>
          </w:p>
        </w:tc>
      </w:tr>
      <w:tr>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Meat</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Chicken</w:t>
            </w:r>
          </w:p>
        </w:tc>
        <w:tc>
          <w:tcPr>
            <w:tcW w:type="dxa" w:w="1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20–100</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2–4</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8–20</w:t>
            </w:r>
          </w:p>
        </w:tc>
      </w:tr>
    </w:tbl>
    <w:p>
      <w:pPr>
        <w:spacing w:after="160" w:before="40"/>
        <w:jc w:val="center"/>
      </w:pPr>
      <w:r>
        <w:rPr>
          <w:rFonts w:ascii="Times New Roman" w:cs="Times New Roman" w:eastAsia="Times New Roman" w:hAnsi="Times New Roman"/>
          <w:i/>
          <w:iCs/>
          <w:color w:val="555555"/>
          <w:sz w:val="19"/>
          <w:szCs w:val="19"/>
        </w:rPr>
        <w:t xml:space="preserve">Table 2. Retail-inspired operational dataset profile summary (5 branches, 8 products = 40 SKUs total).</w:t>
      </w:r>
    </w:p>
    <w:p>
      <w:pPr>
        <w:pStyle w:val="Heading2"/>
        <w:spacing w:after="80" w:before="180"/>
      </w:pPr>
      <w:r>
        <w:rPr>
          <w:rFonts w:ascii="Times New Roman" w:cs="Times New Roman" w:eastAsia="Times New Roman" w:hAnsi="Times New Roman"/>
          <w:b/>
          <w:bCs/>
          <w:color w:val="1F3864"/>
          <w:sz w:val="23"/>
          <w:szCs w:val="23"/>
        </w:rPr>
        <w:t xml:space="preserve">4.2 Implementation Stack</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MVP was implemented in Python 3.10 using pandas and NumPy for data manipulation, scikit-learn for preprocessing utilities, and Matplotlib for visualisation. The autonomous execution pipeline was built as a sequential Python script with modular functions for each sub-engine, exportable to frontend-ready CSV files for dashboard integration. All random seeds were fixed (seed = 42) for reproducibility.</w:t>
      </w:r>
    </w:p>
    <w:p>
      <w:pPr>
        <w:pStyle w:val="Heading1"/>
        <w:spacing w:after="120" w:before="240"/>
      </w:pPr>
      <w:r>
        <w:rPr>
          <w:rFonts w:ascii="Times New Roman" w:cs="Times New Roman" w:eastAsia="Times New Roman" w:hAnsi="Times New Roman"/>
          <w:b/>
          <w:bCs/>
          <w:color w:val="1F3864"/>
          <w:sz w:val="26"/>
          <w:szCs w:val="26"/>
        </w:rPr>
        <w:t xml:space="preserve">5. Results and Discussion</w:t>
      </w:r>
    </w:p>
    <w:p>
      <w:pPr>
        <w:pStyle w:val="Heading2"/>
        <w:spacing w:after="80" w:before="180"/>
      </w:pPr>
      <w:r>
        <w:rPr>
          <w:rFonts w:ascii="Times New Roman" w:cs="Times New Roman" w:eastAsia="Times New Roman" w:hAnsi="Times New Roman"/>
          <w:b/>
          <w:bCs/>
          <w:color w:val="1F3864"/>
          <w:sz w:val="23"/>
          <w:szCs w:val="23"/>
        </w:rPr>
        <w:t xml:space="preserve">5.1 Branch-Level Risk Assessment</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Table 3 presents the branch-level risk heatmap generated by the system. Yasamal and Suraxanı were classified as HIGH risk, with projected losses of ₼2,159 and ₼1,502 respectively, driven by the combination of short expiry windows and low sales velocity in the Dairy and Fruits categories. Xətai was classified MEDIUM risk (₼1,395 projected loss), while Binəqedi and Nərimanov received LOW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26"/>
        <w:gridCol w:w="1800"/>
        <w:gridCol w:w="1800"/>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Branch</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Projected Loss (₼)</w:t>
            </w:r>
          </w:p>
        </w:tc>
        <w:tc>
          <w:tcPr>
            <w:tcW w:type="dxa" w:w="1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Avg Risk Score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High-Risk Items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Risk Level</w:t>
            </w:r>
          </w:p>
        </w:tc>
      </w:tr>
      <w:tr>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Yasamal</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2,159</w:t>
            </w:r>
          </w:p>
        </w:tc>
        <w:tc>
          <w:tcPr>
            <w:tcW w:type="dxa" w:w="1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48.1</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6</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1"/>
                <w:szCs w:val="21"/>
              </w:rPr>
              <w:t xml:space="preserve">HIGH</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Suraxanı</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1,502</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44.3</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5</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C00000"/>
                <w:sz w:val="21"/>
                <w:szCs w:val="21"/>
              </w:rPr>
              <w:t xml:space="preserve">HIGH</w:t>
            </w:r>
          </w:p>
        </w:tc>
      </w:tr>
      <w:tr>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Xətai</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1,395</w:t>
            </w:r>
          </w:p>
        </w:tc>
        <w:tc>
          <w:tcPr>
            <w:tcW w:type="dxa" w:w="1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41.7</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E36C09"/>
                <w:sz w:val="21"/>
                <w:szCs w:val="21"/>
              </w:rPr>
              <w:t xml:space="preserve">MEDIUM</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Binəqədi</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980</w:t>
            </w:r>
          </w:p>
        </w:tc>
        <w:tc>
          <w:tcPr>
            <w:tcW w:type="dxa" w:w="1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35.2</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1"/>
                <w:szCs w:val="21"/>
              </w:rPr>
              <w:t xml:space="preserve">LOW</w:t>
            </w:r>
          </w:p>
        </w:tc>
      </w:tr>
      <w:tr>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Nərimanov</w:t>
            </w:r>
          </w:p>
        </w:tc>
        <w:tc>
          <w:tcPr>
            <w:tcW w:type="dxa" w:w="2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812</w:t>
            </w:r>
          </w:p>
        </w:tc>
        <w:tc>
          <w:tcPr>
            <w:tcW w:type="dxa" w:w="16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33.6</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1"/>
                <w:szCs w:val="21"/>
              </w:rPr>
              <w:t xml:space="preserve">LOW</w:t>
            </w:r>
          </w:p>
        </w:tc>
      </w:tr>
    </w:tbl>
    <w:p>
      <w:pPr>
        <w:spacing w:after="160" w:before="40"/>
        <w:jc w:val="center"/>
      </w:pPr>
      <w:r>
        <w:rPr>
          <w:rFonts w:ascii="Times New Roman" w:cs="Times New Roman" w:eastAsia="Times New Roman" w:hAnsi="Times New Roman"/>
          <w:i/>
          <w:iCs/>
          <w:color w:val="555555"/>
          <w:sz w:val="19"/>
          <w:szCs w:val="19"/>
        </w:rPr>
        <w:t xml:space="preserve">Table 3. Branch-level risk heatmap output from ProfitLoop AI.</w:t>
      </w:r>
    </w:p>
    <w:p>
      <w:pPr>
        <w:pStyle w:val="Heading2"/>
        <w:spacing w:after="80" w:before="180"/>
      </w:pPr>
      <w:r>
        <w:rPr>
          <w:rFonts w:ascii="Times New Roman" w:cs="Times New Roman" w:eastAsia="Times New Roman" w:hAnsi="Times New Roman"/>
          <w:b/>
          <w:bCs/>
          <w:color w:val="1F3864"/>
          <w:sz w:val="23"/>
          <w:szCs w:val="23"/>
        </w:rPr>
        <w:t xml:space="preserve">5.2 Critical Alert — Strawberry (Xətai Branch)</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system's most critical single alert was triggered for Strawberry at the Xətai branch: Risk Score 55, projected loss ₼154.80, expiry window 48 hours. The discount optimiser evaluated three scenarios and selected the 40% markdown as optimal: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Discount Level</w:t>
            </w:r>
          </w:p>
        </w:tc>
        <w:tc>
          <w:tcPr>
            <w:tcW w:type="dxa" w:w="25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Projected Recovery (₼)</w:t>
            </w:r>
          </w:p>
        </w:tc>
        <w:tc>
          <w:tcPr>
            <w:tcW w:type="dxa" w:w="25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Conversion Rate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Selected</w:t>
            </w:r>
          </w:p>
        </w:tc>
      </w:tr>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10%</w:t>
            </w:r>
          </w:p>
        </w:tc>
        <w:tc>
          <w:tcPr>
            <w:tcW w:type="dxa" w:w="2513"/>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14.63</w:t>
            </w:r>
          </w:p>
        </w:tc>
        <w:tc>
          <w:tcPr>
            <w:tcW w:type="dxa" w:w="2513"/>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20%</w:t>
            </w:r>
          </w:p>
        </w:tc>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25%</w:t>
            </w:r>
          </w:p>
        </w:tc>
        <w:tc>
          <w:tcPr>
            <w:tcW w:type="dxa" w:w="2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48.42</w:t>
            </w:r>
          </w:p>
        </w:tc>
        <w:tc>
          <w:tcPr>
            <w:tcW w:type="dxa" w:w="2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58%</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1"/>
                <w:szCs w:val="21"/>
              </w:rPr>
              <w:t xml:space="preserve"/>
            </w:r>
          </w:p>
        </w:tc>
      </w:tr>
      <w:tr>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40%</w:t>
            </w:r>
          </w:p>
        </w:tc>
        <w:tc>
          <w:tcPr>
            <w:tcW w:type="dxa" w:w="2513"/>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77.09</w:t>
            </w:r>
          </w:p>
        </w:tc>
        <w:tc>
          <w:tcPr>
            <w:tcW w:type="dxa" w:w="2513"/>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83%</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bCs/>
                <w:color w:val="375623"/>
                <w:sz w:val="21"/>
                <w:szCs w:val="21"/>
              </w:rPr>
              <w:t xml:space="preserve">OPTIMAL</w:t>
            </w:r>
          </w:p>
        </w:tc>
      </w:tr>
    </w:tbl>
    <w:p>
      <w:pPr>
        <w:spacing w:after="160" w:before="40"/>
        <w:jc w:val="center"/>
      </w:pPr>
      <w:r>
        <w:rPr>
          <w:rFonts w:ascii="Times New Roman" w:cs="Times New Roman" w:eastAsia="Times New Roman" w:hAnsi="Times New Roman"/>
          <w:i/>
          <w:iCs/>
          <w:color w:val="555555"/>
          <w:sz w:val="19"/>
          <w:szCs w:val="19"/>
        </w:rPr>
        <w:t xml:space="preserve">Table 4. Discount scenario evaluation for Strawberry — Xətai branch.</w:t>
      </w:r>
    </w:p>
    <w:p>
      <w:pPr>
        <w:pStyle w:val="Heading2"/>
        <w:spacing w:after="80" w:before="180"/>
      </w:pPr>
      <w:r>
        <w:rPr>
          <w:rFonts w:ascii="Times New Roman" w:cs="Times New Roman" w:eastAsia="Times New Roman" w:hAnsi="Times New Roman"/>
          <w:b/>
          <w:bCs/>
          <w:color w:val="1F3864"/>
          <w:sz w:val="23"/>
          <w:szCs w:val="23"/>
        </w:rPr>
        <w:t xml:space="preserve">5.3 Loyalty Campaign Results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loyalty engine analysed BirBonus and Umico cashback profiles across all branches, filtering by proximity to Xətai, category affinity for Fruits, and recent cashback activity. Of 33 targeted customers identified, the system projected 15 conversions (46% average conversion probability), yielding an additional ₼203.67 in loyalty revenue recovery — 2.64× the direct discount recovery.</w:t>
      </w:r>
    </w:p>
    <w:p>
      <w:pPr>
        <w:pStyle w:val="Heading2"/>
        <w:spacing w:after="80" w:before="180"/>
      </w:pPr>
      <w:r>
        <w:rPr>
          <w:rFonts w:ascii="Times New Roman" w:cs="Times New Roman" w:eastAsia="Times New Roman" w:hAnsi="Times New Roman"/>
          <w:b/>
          <w:bCs/>
          <w:color w:val="1F3864"/>
          <w:sz w:val="23"/>
          <w:szCs w:val="23"/>
        </w:rPr>
        <w:t xml:space="preserve">5.4 Redistribution Recommendations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cross-branch engine identified 9 redistribution opportunities across the product catalogue. A representative example: 45 units of Banana transferred from Nərimanov (excess stock, low velocity) to Xətai (lower stock, higher velocity), with net transfer value after transport cost positive in all 9 cases. Table 5 summarises the consolidated recovery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Recovery Metric</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Value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1"/>
                <w:szCs w:val="21"/>
              </w:rPr>
              <w:t xml:space="preserve">Notes</w:t>
            </w:r>
          </w:p>
        </w:tc>
      </w:tr>
      <w:tr>
        <w:tc>
          <w:tcPr>
            <w:tcW w:type="dxa" w:w="40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Discount Recovery Profit</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₼77.09</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Strawberry × 40% markdown</w:t>
            </w:r>
          </w:p>
        </w:tc>
      </w:tr>
      <w:tr>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Loyalty Revenue Recovery</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₼203.67</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15 conversions / 33 targeted</w:t>
            </w:r>
          </w:p>
        </w:tc>
      </w:tr>
      <w:tr>
        <w:tc>
          <w:tcPr>
            <w:tcW w:type="dxa" w:w="40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Total Direct Recovery</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₼280.76</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Single product, one cycle</w:t>
            </w:r>
          </w:p>
        </w:tc>
      </w:tr>
      <w:tr>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Food Waste Prevented</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~19 units</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Strawberry units sold vs. disposed</w:t>
            </w:r>
          </w:p>
        </w:tc>
      </w:tr>
      <w:tr>
        <w:tc>
          <w:tcPr>
            <w:tcW w:type="dxa" w:w="40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CO₂ Reduction Estimate</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~6 kg</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Based on food waste prevented</w:t>
            </w:r>
          </w:p>
        </w:tc>
      </w:tr>
      <w:tr>
        <w:tc>
          <w:tcPr>
            <w:tcW w:type="dxa" w:w="4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Redistribution Opportunities</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9</w:t>
            </w:r>
          </w:p>
        </w:tc>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Across all 5 branches</w:t>
            </w:r>
          </w:p>
        </w:tc>
      </w:tr>
      <w:tr>
        <w:tc>
          <w:tcPr>
            <w:tcW w:type="dxa" w:w="40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1"/>
                <w:szCs w:val="21"/>
              </w:rPr>
              <w:t xml:space="preserve">High-Risk SKUs Identified</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1"/>
                <w:szCs w:val="21"/>
              </w:rPr>
              <w:t xml:space="preserve">11 / 40</w:t>
            </w:r>
          </w:p>
        </w:tc>
        <w:tc>
          <w:tcPr>
            <w:tcW w:type="dxa" w:w="2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555555"/>
                <w:sz w:val="21"/>
                <w:szCs w:val="21"/>
              </w:rPr>
              <w:t xml:space="preserve">Risk Score ≥ 55</w:t>
            </w:r>
          </w:p>
        </w:tc>
      </w:tr>
    </w:tbl>
    <w:p>
      <w:pPr>
        <w:spacing w:after="160" w:before="40"/>
        <w:jc w:val="center"/>
      </w:pPr>
      <w:r>
        <w:rPr>
          <w:rFonts w:ascii="Times New Roman" w:cs="Times New Roman" w:eastAsia="Times New Roman" w:hAnsi="Times New Roman"/>
          <w:i/>
          <w:iCs/>
          <w:color w:val="555555"/>
          <w:sz w:val="19"/>
          <w:szCs w:val="19"/>
        </w:rPr>
        <w:t xml:space="preserve">Table 5. Consolidated recovery impact — single autonomous execution cycle.</w:t>
      </w:r>
    </w:p>
    <w:p>
      <w:pPr>
        <w:pStyle w:val="Heading2"/>
        <w:spacing w:after="80" w:before="180"/>
      </w:pPr>
      <w:r>
        <w:rPr>
          <w:rFonts w:ascii="Times New Roman" w:cs="Times New Roman" w:eastAsia="Times New Roman" w:hAnsi="Times New Roman"/>
          <w:b/>
          <w:bCs/>
          <w:color w:val="1F3864"/>
          <w:sz w:val="23"/>
          <w:szCs w:val="23"/>
        </w:rPr>
        <w:t xml:space="preserve">5.5 Discussion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The results demonstrate that a closed-loop architecture combining risk scoring, discount optimisation, redistribution planning, and loyalty targeting substantially outperforms any single-function approach. The loyalty channel alone recovered 2.64× more value than the direct markdown, a finding consistent with CRM-augmented retail loss-recovery literature [5]. The non-invasive API layer design — connecting to existing Bravo infrastructure (Bravo App, BirBonus, Umico, POS systems) without replacing any component — validates the system's deployment feasibility. A conservative ROI model projects ₼100K annual recovery per branch at a 20% recovery rate on ₼500K at-risk inventory, scaling to ₼5M+ across the full Bravo network.</w:t>
      </w:r>
    </w:p>
    <w:p>
      <w:pPr>
        <w:pStyle w:val="Heading1"/>
        <w:spacing w:after="120" w:before="240"/>
      </w:pPr>
      <w:r>
        <w:rPr>
          <w:rFonts w:ascii="Times New Roman" w:cs="Times New Roman" w:eastAsia="Times New Roman" w:hAnsi="Times New Roman"/>
          <w:b/>
          <w:bCs/>
          <w:color w:val="1F3864"/>
          <w:sz w:val="26"/>
          <w:szCs w:val="26"/>
        </w:rPr>
        <w:t xml:space="preserve">6. Conclusion</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This paper presented ProfitLoop AI, an autonomous closed-loop retail waste recovery system integrating five AI sub-engines into a single pipeline. The system was designed, prototyped, and validated at Pasha Hackathon 6.0, demonstrating measurable waste reduction and financial recovery on retail-inspired operational datasets modelled on real-world retail behaviour. Unlike static retail analytics systems, ProfitLoop AI completes the operational recovery loop through autonomous AI-driven decision execution. The closed-loop feedback mechanism, category-aware discount optimisation, and non-invasive deployment model represent the system’s primary scientific and practical contributions.</w:t>
      </w:r>
    </w:p>
    <w:p>
      <w:pPr>
        <w:spacing w:after="80" w:before="80" w:line="280"/>
        <w:jc w:val="both"/>
      </w:pPr>
      <w:r>
        <w:rPr>
          <w:rFonts w:ascii="Times New Roman" w:cs="Times New Roman" w:eastAsia="Times New Roman" w:hAnsi="Times New Roman"/>
          <w:b w:val="false"/>
          <w:bCs w:val="false"/>
          <w:i w:val="false"/>
          <w:iCs w:val="false"/>
          <w:color w:val="000000"/>
          <w:sz w:val="22"/>
          <w:szCs w:val="22"/>
        </w:rPr>
        <w:t xml:space="preserve">Future work will focus on three directions: (i) replacing the rule-based risk scorer with a gradient-boosted model trained on real POS data to improve sensitivity; (ii) extending the redistribution engine with a full vehicle-routing optimiser incorporating real transport cost matrices, with future extensions to include route-aware redistribution optimisation integrated with existing retail logistics infrastructure; and (iii) integrating Robotic Process Automation (RPA) workflows to fully automate POS price updates and loyalty campaign dispatches without human operator intervention.</w:t>
      </w:r>
    </w:p>
    <w:p>
      <w:pPr>
        <w:pStyle w:val="Heading1"/>
        <w:spacing w:after="120" w:before="240"/>
      </w:pPr>
      <w:r>
        <w:rPr>
          <w:rFonts w:ascii="Times New Roman" w:cs="Times New Roman" w:eastAsia="Times New Roman" w:hAnsi="Times New Roman"/>
          <w:b/>
          <w:bCs/>
          <w:color w:val="1F3864"/>
          <w:sz w:val="26"/>
          <w:szCs w:val="26"/>
        </w:rPr>
        <w:t xml:space="preserve">References</w:t>
      </w:r>
    </w:p>
    <w:p>
      <w:pPr>
        <w:spacing w:after="40" w:before="40" w:line="280"/>
        <w:jc w:val="both"/>
      </w:pPr>
      <w:r>
        <w:rPr>
          <w:rFonts w:ascii="Times New Roman" w:cs="Times New Roman" w:eastAsia="Times New Roman" w:hAnsi="Times New Roman"/>
          <w:b w:val="false"/>
          <w:bCs w:val="false"/>
          <w:i w:val="false"/>
          <w:iCs w:val="false"/>
          <w:color w:val="000000"/>
          <w:sz w:val="22"/>
          <w:szCs w:val="22"/>
        </w:rPr>
        <w:t xml:space="preserve">[1] Makridakis, S., Spiliotis, E., &amp; Assimakopoulos, V. (2018). Statistical and Machine Learning forecasting methods: Concerns and ways forward. PLOS ONE, 13(3), e0194889.</w:t>
      </w:r>
    </w:p>
    <w:p>
      <w:pPr>
        <w:spacing w:after="40" w:before="40" w:line="280"/>
        <w:jc w:val="both"/>
      </w:pPr>
      <w:r>
        <w:rPr>
          <w:rFonts w:ascii="Times New Roman" w:cs="Times New Roman" w:eastAsia="Times New Roman" w:hAnsi="Times New Roman"/>
          <w:b w:val="false"/>
          <w:bCs w:val="false"/>
          <w:i w:val="false"/>
          <w:iCs w:val="false"/>
          <w:color w:val="000000"/>
          <w:sz w:val="22"/>
          <w:szCs w:val="22"/>
        </w:rPr>
        <w:t xml:space="preserve">[2] Chen, T., &amp; Guestrin, C. (2016). XGBoost: A scalable tree boosting system. Proceedings of ACM KDD, 785–794.</w:t>
      </w:r>
    </w:p>
    <w:p>
      <w:pPr>
        <w:spacing w:after="40" w:before="40" w:line="280"/>
        <w:jc w:val="both"/>
      </w:pPr>
      <w:r>
        <w:rPr>
          <w:rFonts w:ascii="Times New Roman" w:cs="Times New Roman" w:eastAsia="Times New Roman" w:hAnsi="Times New Roman"/>
          <w:b w:val="false"/>
          <w:bCs w:val="false"/>
          <w:i w:val="false"/>
          <w:iCs w:val="false"/>
          <w:color w:val="000000"/>
          <w:sz w:val="22"/>
          <w:szCs w:val="22"/>
        </w:rPr>
        <w:t xml:space="preserve">[3] Gallego, G., &amp; van Ryzin, G. (1994). Optimal dynamic pricing of inventories with stochastic demand over finite horizons. Management Science, 40(8), 999–1020.</w:t>
      </w:r>
    </w:p>
    <w:p>
      <w:pPr>
        <w:spacing w:after="40" w:before="40" w:line="280"/>
        <w:jc w:val="both"/>
      </w:pPr>
      <w:r>
        <w:rPr>
          <w:rFonts w:ascii="Times New Roman" w:cs="Times New Roman" w:eastAsia="Times New Roman" w:hAnsi="Times New Roman"/>
          <w:b w:val="false"/>
          <w:bCs w:val="false"/>
          <w:i w:val="false"/>
          <w:iCs w:val="false"/>
          <w:color w:val="000000"/>
          <w:sz w:val="22"/>
          <w:szCs w:val="22"/>
        </w:rPr>
        <w:t xml:space="preserve">[4] Parragh, S. N., Doerner, K. F., &amp; Hartl, R. F. (2008). A survey on pickup and delivery problems. Journal für Betriebswirtschaft, 58(1), 21–51.</w:t>
      </w:r>
    </w:p>
    <w:p>
      <w:pPr>
        <w:spacing w:after="40" w:before="40" w:line="280"/>
        <w:jc w:val="both"/>
      </w:pPr>
      <w:r>
        <w:rPr>
          <w:rFonts w:ascii="Times New Roman" w:cs="Times New Roman" w:eastAsia="Times New Roman" w:hAnsi="Times New Roman"/>
          <w:b w:val="false"/>
          <w:bCs w:val="false"/>
          <w:i w:val="false"/>
          <w:iCs w:val="false"/>
          <w:color w:val="000000"/>
          <w:sz w:val="22"/>
          <w:szCs w:val="22"/>
        </w:rPr>
        <w:t xml:space="preserve">[5] Kumar, V., &amp; Reinartz, W. (2018). Customer Relationship Management: Concept, Strategy, and Tools (3rd ed.). Springer.</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pPr>
      <w:spacing w:after="80" w:before="180"/>
      <w:outlineLvl w:val="1"/>
    </w:pPr>
    <w:rPr>
      <w:rFonts w:ascii="Times New Roman" w:cs="Times New Roman" w:eastAsia="Times New Roman" w:hAnsi="Times New Roman"/>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2026-05-20T09:15:04.589Z</dcterms:created>
  <dcterms:modified xsi:type="dcterms:W3CDTF">2026-05-20T09:15:04.590Z</dcterms:modified>
</cp:coreProperties>
</file>

<file path=docProps/custom.xml><?xml version="1.0" encoding="utf-8"?>
<Properties xmlns="http://schemas.openxmlformats.org/officeDocument/2006/custom-properties" xmlns:vt="http://schemas.openxmlformats.org/officeDocument/2006/docPropsVTypes"/>
</file>