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36"/>
          <w:szCs w:val="36"/>
        </w:rPr>
        <w:t xml:space="preserve">TFG — Optimización de Modelos de IA en NVIDIA Jetson Orin Nano</w:t>
      </w:r>
    </w:p>
    <w:p>
      <w:pPr>
        <w:spacing w:after="120" w:before="0"/>
        <w:jc w:val="center"/>
      </w:pPr>
      <w:r>
        <w:rPr>
          <w:rFonts w:ascii="Arial" w:cs="Arial" w:eastAsia="Arial" w:hAnsi="Arial"/>
          <w:color w:val="2E75B6"/>
          <w:sz w:val="24"/>
          <w:szCs w:val="24"/>
        </w:rPr>
        <w:t xml:space="preserve">Informe de Sesión 1 — Puesta en marcha y caracterización inicial</w:t>
      </w:r>
    </w:p>
    <w:p>
      <w:pPr>
        <w:spacing w:after="480" w:before="0"/>
        <w:jc w:val="center"/>
      </w:pPr>
      <w:r>
        <w:rPr>
          <w:rFonts w:ascii="Arial" w:cs="Arial" w:eastAsia="Arial" w:hAnsi="Arial"/>
          <w:color w:val="7F7F7F"/>
          <w:sz w:val="22"/>
          <w:szCs w:val="22"/>
        </w:rPr>
        <w:t xml:space="preserve">Fecha: Junio 2025</w:t>
      </w:r>
    </w:p>
    <w:p>
      <w:pPr>
        <w:pStyle w:val="Heading1"/>
        <w:spacing w:after="160" w:before="320"/>
      </w:pPr>
      <w:r>
        <w:rPr>
          <w:rFonts w:ascii="Arial" w:cs="Arial" w:eastAsia="Arial" w:hAnsi="Arial"/>
          <w:b/>
          <w:bCs/>
          <w:color w:val="1F4E79"/>
          <w:sz w:val="32"/>
          <w:szCs w:val="32"/>
        </w:rPr>
        <w:t xml:space="preserve">0. Planteamiento de la sesión</w:t>
      </w:r>
    </w:p>
    <w:p>
      <w:pPr>
        <w:spacing w:after="80" w:before="80"/>
      </w:pPr>
      <w:r>
        <w:rPr>
          <w:rFonts w:ascii="Arial" w:cs="Arial" w:eastAsia="Arial" w:hAnsi="Arial"/>
          <w:sz w:val="22"/>
          <w:szCs w:val="22"/>
        </w:rPr>
        <w:t xml:space="preserve">El profesor pidió, como paso previo a entrar en Knowledge Distillation, “cacharrear” con la tarjeta: implementar una red, entrenarla, hacer inferencia, y demostrar capacidad de medir parámetros críticos. Antes de escribir una sola línea de PyTorch propia, se decidió usar como referencia metodológica los dos informes de Saida Mohellebi sobre el mismo hardware (Jetson Orin Nano, JetPack 6.2), por dos motivos: primero, porque ya resuelven el problema de “cómo medir bien en GPU”, que es un problema no trivial en sí mismo; segundo, porque usar la misma metodología permite que los resultados de este TFG sean directamente comparables con los suyos.</w:t>
      </w:r>
    </w:p>
    <w:p>
      <w:pPr>
        <w:spacing w:after="120" w:before="120"/>
      </w:pPr>
      <w:r>
        <w:t xml:space="preserve"/>
      </w:r>
    </w:p>
    <w:p>
      <w:pPr>
        <w:spacing w:after="80" w:before="80"/>
      </w:pPr>
      <w:r>
        <w:rPr>
          <w:rFonts w:ascii="Arial" w:cs="Arial" w:eastAsia="Arial" w:hAnsi="Arial"/>
          <w:sz w:val="22"/>
          <w:szCs w:val="22"/>
        </w:rPr>
        <w:t xml:space="preserve">Por eso el orden de esta sesión no fue arbitrario: primero verificar que el hardware respondía (entorno), después medir un fenómeno simple y bien entendido (CPU vs GPU) antes de meterse con redes complejas, y solo entonces pasar al ciclo completo de entrenamiento + inferencia + medición.</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1. Configuración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Sin confirmar que torch.cuda.is_available() devuelve True, cualquier medición posterior sería inútil: se podría estar entrenando en CPU sin saberlo, y todas las comparaciones de rendimiento quedarían invalidadas. Este es el primer paso obligatorio antes de medir nada.</w:t>
            </w:r>
          </w:p>
          <w:p>
            <w:pPr>
              <w:spacing w:before="60"/>
            </w:pPr>
            <w:r>
              <w:rPr>
                <w:rFonts w:ascii="Arial" w:cs="Arial" w:eastAsia="Arial" w:hAnsi="Arial"/>
                <w:i/>
                <w:iCs/>
                <w:color w:val="7F7F7F"/>
                <w:sz w:val="18"/>
                <w:szCs w:val="18"/>
              </w:rPr>
              <w:t xml:space="preserve">Fuente: Sentido común metodológico — no aparece explícitamente en los informes de Saida porque ella ya partía de un entorno funcional, pero es el primer requisito implícito de toda su instrumentación (sección 3.1 de su informe de benchmarking).</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1.1 Especificaciones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Jetson Orin Nano Developer Kit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JetPack / L4T</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R36.4 (JetPack 6.x)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12.6</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PyTorch</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2.3.0 (compilado con CUDA para aarch64)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 unificada</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GB LPDDR5 (compartida CPU/GPU)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Ampere — 1024 núcleos CUDA, 32 Tensor Cores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w:t>
            </w:r>
          </w:p>
        </w:tc>
        <w:tc>
          <w:tcPr>
            <w:tcW w:type="dxa" w:w="5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ARM Cortex-A78AE — 6 núcleos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1.2 Incidencias durante la instalación</w:t>
      </w:r>
    </w:p>
    <w:p>
      <w:pPr>
        <w:spacing w:after="80" w:before="80"/>
      </w:pPr>
      <w:r>
        <w:rPr>
          <w:rFonts w:ascii="Arial" w:cs="Arial" w:eastAsia="Arial" w:hAnsi="Arial"/>
          <w:sz w:val="22"/>
          <w:szCs w:val="22"/>
        </w:rPr>
        <w:t xml:space="preserve">Problema 1 — PyTorch sin CUDA: pip instaló por defecto la versión CPU. Solución: wheel oficial de NVIDIA para aarch64/JetPack 6.</w:t>
      </w:r>
    </w:p>
    <w:p>
      <w:pPr>
        <w:spacing w:after="120" w:before="120"/>
      </w:pPr>
      <w:r>
        <w:t xml:space="preserve"/>
      </w:r>
    </w:p>
    <w:p>
      <w:pPr>
        <w:spacing w:after="80" w:before="80"/>
      </w:pPr>
      <w:r>
        <w:rPr>
          <w:rFonts w:ascii="Arial" w:cs="Arial" w:eastAsia="Arial" w:hAnsi="Arial"/>
          <w:sz w:val="22"/>
          <w:szCs w:val="22"/>
        </w:rPr>
        <w:t xml:space="preserve">Problema 2 — libcusparselt.so.0 ausente: faltaba una librería CUDA del sistema. Solución: sudo apt install cuda-libraries-12-6.</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Esto confirma algo que se intuye al leer el informe de Saida pero que ella no documenta explícitamente porque no le tocó instalarlo desde cero: en Jetson, PyTorch no es un paquete estándar de PyPI, es una distribución específica de JetPack con dependencias del sistema (no solo de Python) que deben coincidir exactamente con la versión de CUDA y cuDNN del JetPack instalado.</w:t>
            </w:r>
          </w:p>
          <w:p>
            <w:pPr>
              <w:spacing w:before="60"/>
            </w:pPr>
            <w:r>
              <w:rPr>
                <w:rFonts w:ascii="Arial" w:cs="Arial" w:eastAsia="Arial" w:hAnsi="Arial"/>
                <w:i/>
                <w:iCs/>
                <w:color w:val="7F7F7F"/>
                <w:sz w:val="18"/>
                <w:szCs w:val="18"/>
              </w:rPr>
              <w:t xml:space="preserve">Fuente: Documento técnico de emulación de Jetson Nano, tabla de versiones JetPack/CUDA (sección 1.1).</w:t>
            </w:r>
          </w:p>
        </w:tc>
      </w:tr>
    </w:tbl>
    <w:p>
      <w:pPr>
        <w:spacing w:after="120" w:before="120"/>
      </w:pPr>
      <w:r>
        <w:t xml:space="preserve"/>
      </w:r>
    </w:p>
    <w:p>
      <w:pPr>
        <w:spacing w:after="80" w:before="80"/>
      </w:pPr>
      <w:r>
        <w:rPr>
          <w:rFonts w:ascii="Arial" w:cs="Arial" w:eastAsia="Arial" w:hAnsi="Arial"/>
          <w:sz w:val="22"/>
          <w:szCs w:val="22"/>
        </w:rPr>
        <w:t xml:space="preserve">Verificación final: True / Orin (GPU reconocida con soporte CUDA activo).</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2. Experimento: CPU vs GPU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Antes de entrenar ninguna red, conviene entender el comportamiento más básico de la GPU: ¿siempre es más rápida que la CPU? La respuesta intuitiva es “sí, para eso está”, pero esa intuición es la que hay que poner a prueba con datos antes de basar en ella cualquier decisión de optimización. Este experimento es el más simple posible que puede revelar si existe overhead de lanzamiento de GPU, un fenómeno que condiciona directamente cómo de pequeño se puede comprimir un modelo (Pruning, Distillation) antes de que deje de tener sentido ejecutarlo en GPU.</w:t>
            </w:r>
          </w:p>
          <w:p>
            <w:pPr>
              <w:spacing w:before="60"/>
            </w:pPr>
            <w:r>
              <w:rPr>
                <w:rFonts w:ascii="Arial" w:cs="Arial" w:eastAsia="Arial" w:hAnsi="Arial"/>
                <w:i/>
                <w:iCs/>
                <w:color w:val="7F7F7F"/>
                <w:sz w:val="18"/>
                <w:szCs w:val="18"/>
              </w:rPr>
              <w:t xml:space="preserve">Fuente: Relacionado con la sección 3.2 del informe de benchmarking de Saida (necesidad de torch.cuda.synchronize() para medir tiempos GPU correctamente) y con la tabla 5.4 de su informe, donde documenta el mismo fenómeno de inversión TINY/SMALL en el MLP.</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2.1 Metodología</w:t>
      </w:r>
    </w:p>
    <w:p>
      <w:pPr>
        <w:spacing w:after="80" w:before="80"/>
      </w:pPr>
      <w:r>
        <w:rPr>
          <w:rFonts w:ascii="Arial" w:cs="Arial" w:eastAsia="Arial" w:hAnsi="Arial"/>
          <w:sz w:val="22"/>
          <w:szCs w:val="22"/>
        </w:rPr>
        <w:t xml:space="preserve">Se ejecutaron 1000 inferencias consecutivas con batch=1 para cada tamaño de capa oculta (hidden). La medición de tiempo en GPU incluye torch.cuda.synchronize() antes y después del bloque cronometrado: sin esto, solo se mediría el tiempo de encolar la instrucción en la GPU (asíncrono), no el tiempo real de cómputo. Saida documenta este mismo requisito en su función timed() / cuda_sync().</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2.2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1500"/>
        <w:gridCol w:w="1026"/>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Neuronas ocultas (hidden)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CPU (ms / 1000 inf.)</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GPU (ms / 1000 inf.)</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Ganador</w:t>
            </w:r>
          </w:p>
        </w:tc>
        <w:tc>
          <w:tcPr>
            <w:tcW w:type="dxa" w:w="1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441.3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Empate</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1655.9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317.2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GPU</w:t>
            </w:r>
          </w:p>
        </w:tc>
        <w:tc>
          <w:tcPr>
            <w:tcW w:type="dxa" w:w="1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4871.9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563.6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2.3 Análisis</w:t>
      </w:r>
    </w:p>
    <w:p>
      <w:pPr>
        <w:spacing w:after="80" w:before="80"/>
      </w:pPr>
      <w:r>
        <w:rPr>
          <w:rFonts w:ascii="Arial" w:cs="Arial" w:eastAsia="Arial" w:hAnsi="Arial"/>
          <w:sz w:val="22"/>
          <w:szCs w:val="22"/>
        </w:rPr>
        <w:t xml:space="preserve">Con hidden=512 CPU y GPU rinden igual: el overhead de lanzar kernels CUDA (enviar instrucciones, configurar el kernel, recibir el resultado) es comparable al tiempo de cómputo útil. A partir de hidden=2048 la GPU empieza a amortizar ese overhead. Con hidden=8192 el factor de aceleración llega a ×8.6.</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Este resultado es exactamente la misma “inversión TINY/SMALL” que Saida observa en su tabla 5.4, sección “Trois enseignements clairs”: para un modelo muy pequeño, el tiempo de submission de kernels CUDA es comparable al de cómputo. Lo que aquí se llama “empate en hidden=512” es la misma física que la inversión de latencias entre TINY y SMALL en su informe.</w:t>
            </w:r>
          </w:p>
          <w:p>
            <w:pPr>
              <w:spacing w:before="60"/>
            </w:pPr>
            <w:r>
              <w:rPr>
                <w:rFonts w:ascii="Arial" w:cs="Arial" w:eastAsia="Arial" w:hAnsi="Arial"/>
                <w:i/>
                <w:iCs/>
                <w:color w:val="7F7F7F"/>
                <w:sz w:val="18"/>
                <w:szCs w:val="18"/>
              </w:rPr>
              <w:t xml:space="preserve">Fuente: Informe de benchmarking de Saida, sección 5.4, Figura 5 (‘the TINY ↔ SMALL inversion is not a measurement error’).</w:t>
            </w:r>
          </w:p>
        </w:tc>
      </w:tr>
    </w:tbl>
    <w:p>
      <w:pPr>
        <w:spacing w:after="120" w:before="120"/>
      </w:pPr>
      <w:r>
        <w:t xml:space="preserve"/>
      </w:r>
    </w:p>
    <w:p>
      <w:pPr>
        <w:spacing w:after="80" w:before="80"/>
      </w:pPr>
      <w:r>
        <w:rPr>
          <w:rFonts w:ascii="Arial" w:cs="Arial" w:eastAsia="Arial" w:hAnsi="Arial"/>
          <w:sz w:val="22"/>
          <w:szCs w:val="22"/>
        </w:rPr>
        <w:t xml:space="preserve">Implicación para el TFG: si las técnicas de optimización (poda, cuantización, KD) producen modelos demasiado pequeños, el modelo resultante podría caer en el régimen donde la GPU deja de aportar ventaja sobre la CPU. Esto se evaluará explícitamente al medir los modelos optimizados.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3. Ciclo completo: entrenamiento e inferencia de MLP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Este es el experimento que pidió directamente el profesor: implementar, entrenar, inferir y medir. Se eligió un MLP como primera arquitectura (en vez del ResNet) porque es la más simple de las dos que pide el TFG, y porque Saida documenta que en MLP el factor limitante de memoria son los pesos del modelo, no las activaciones — una hipótesis concreta y verificable con el experimento.</w:t>
            </w:r>
          </w:p>
          <w:p>
            <w:pPr>
              <w:spacing w:before="60"/>
            </w:pPr>
            <w:r>
              <w:rPr>
                <w:rFonts w:ascii="Arial" w:cs="Arial" w:eastAsia="Arial" w:hAnsi="Arial"/>
                <w:i/>
                <w:iCs/>
                <w:color w:val="7F7F7F"/>
                <w:sz w:val="18"/>
                <w:szCs w:val="18"/>
              </w:rPr>
              <w:t xml:space="preserve">Fuente: Documento de tests, sección ‘La Inversión en Convolucionales’ (concepto clave aportado en el contexto del proyecto) y sección 5.2 del informe de benchmarking de Saida (‘the 5x ratio between weights and GPU peak’).</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3.1 Arquitectura del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4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Entrada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Salida</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Activación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2048</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ReLU + BatchNorm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1024</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ReLU + BatchNorm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3 (salida)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120"/>
      </w:pPr>
      <w:r>
        <w:t xml:space="preserve"/>
      </w:r>
    </w:p>
    <w:p>
      <w:pPr>
        <w:spacing w:after="80" w:before="80"/>
      </w:pPr>
      <w:r>
        <w:rPr>
          <w:rFonts w:ascii="Arial" w:cs="Arial" w:eastAsia="Arial" w:hAnsi="Arial"/>
          <w:sz w:val="22"/>
          <w:szCs w:val="22"/>
        </w:rPr>
        <w:t xml:space="preserve">Dataset: 5000 muestras sintéticas. Optimizador: Adam (lr=1e-3). Épocas: 5. Batch size: 256.</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Se eligió Adam, no SGD, deliberadamente: el objetivo de esta primera prueba era reproducir y verificar la ‘regla del 5x’ de Saida (entrenar con Adam consume ~5 veces el peso del modelo en memoria, por gradientes + 2 momentos del optimizador). Para verificar esa regla hace falta usar Adam; con SGD no se podría comprobar.</w:t>
            </w:r>
          </w:p>
          <w:p>
            <w:pPr>
              <w:spacing w:before="60"/>
            </w:pPr>
            <w:r>
              <w:rPr>
                <w:rFonts w:ascii="Arial" w:cs="Arial" w:eastAsia="Arial" w:hAnsi="Arial"/>
                <w:i/>
                <w:iCs/>
                <w:color w:val="7F7F7F"/>
                <w:sz w:val="18"/>
                <w:szCs w:val="18"/>
              </w:rPr>
              <w:t xml:space="preserve">Fuente: Informe de benchmarking de Saida, sección 5.2: ‘The 5x Ratio Between Weights and GPU Peak’, y contexto del proyecto: ‘Regla del 5x’.</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Resultados de entrenamiento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total entrenamiento (5 épocas)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2839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VRAM pico durante entrenamiento</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116.7 MB</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proceso Python (RSS)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703.3 MB</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Loss epoch 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57.605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epoch 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0.135</w:t>
            </w:r>
          </w:p>
        </w:tc>
      </w:tr>
    </w:tbl>
    <w:p>
      <w:pPr>
        <w:spacing w:after="120" w:before="120"/>
      </w:pPr>
      <w:r>
        <w:t xml:space="preserve"/>
      </w:r>
    </w:p>
    <w:p>
      <w:pPr>
        <w:spacing w:after="80" w:before="80"/>
      </w:pPr>
      <w:r>
        <w:rPr>
          <w:rFonts w:ascii="Arial" w:cs="Arial" w:eastAsia="Arial" w:hAnsi="Arial"/>
          <w:sz w:val="22"/>
          <w:szCs w:val="22"/>
        </w:rPr>
        <w:t xml:space="preserve">Nota importante (detectada y corregida en la sesión 2): el dataset usado en esta prueba era ruido puro, sin relación causal entre señal y etiqueta. La caída de loss observada corresponde a sobreajuste por memorización (el MLP tiene 4.2M de parámetros para solo 5000 muestras), no a aprendizaje real de un patrón. Este matiz se documenta con honestidad porque es relevante para interpretar correctamente los números de memoria y tiempo, que sí son válidos, aunque la “convergencia” no lo sea.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Aun con el dataset incorrecto, esta prueba seguía siendo válida para su propósito original: verificar la regla del 5x. El peso del modelo es ~25 MB; el pico medido fue 116.7 MB, factor ×4.7 — consistente con el rango 4-5x que documenta Saida. El error de dataset no invalida esta medición de memoria porque la cantidad de memoria que ocupan gradientes y momentos de Adam no depende de si los datos tienen sentido o no, solo del tamaño del modelo.</w:t>
            </w:r>
          </w:p>
          <w:p>
            <w:pPr>
              <w:spacing w:before="60"/>
            </w:pPr>
            <w:r>
              <w:rPr>
                <w:rFonts w:ascii="Arial" w:cs="Arial" w:eastAsia="Arial" w:hAnsi="Arial"/>
                <w:i/>
                <w:iCs/>
                <w:color w:val="7F7F7F"/>
                <w:sz w:val="18"/>
                <w:szCs w:val="18"/>
              </w:rPr>
              <w:t xml:space="preserve">Fuente: Informe de benchmarking de Saida, tabla resumen sección 5.1 y desglose de la sección 5.2 (Weights / Gradients / Adam m / Adam v).</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3.3 Resultados de inferencia (100 ejecuciones, batch=1)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media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0.916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Desviación estándar</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0.216 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mínima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0.703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máxima</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1.501 ms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Se incluyeron 10 pasos de warmup antes de medir, siguiendo exactamente la justificación de Saida: las primeras llamadas CUDA son más lentas por compilación JIT de kernels y asignación de workspace, y sin warmup esos costes contaminarían la media de las 100 mediciones reales.</w:t>
            </w:r>
          </w:p>
          <w:p>
            <w:pPr>
              <w:spacing w:before="60"/>
            </w:pPr>
            <w:r>
              <w:rPr>
                <w:rFonts w:ascii="Arial" w:cs="Arial" w:eastAsia="Arial" w:hAnsi="Arial"/>
                <w:i/>
                <w:iCs/>
                <w:color w:val="7F7F7F"/>
                <w:sz w:val="18"/>
                <w:szCs w:val="18"/>
              </w:rPr>
              <w:t xml:space="preserve">Fuente: Informe de benchmarking de Saida, sección 3.7: ‘JIT Compilation of CUDA Kernels’ y ‘Workspace Allocation’.</w:t>
            </w:r>
          </w:p>
        </w:tc>
      </w:tr>
    </w:tbl>
    <w:p>
      <w:pPr>
        <w:spacing w:after="120" w:before="120"/>
      </w:pPr>
      <w:r>
        <w:t xml:space="preserve"/>
      </w:r>
    </w:p>
    <w:p>
      <w:pPr>
        <w:spacing w:after="80" w:before="80"/>
      </w:pPr>
      <w:r>
        <w:rPr>
          <w:rFonts w:ascii="Arial" w:cs="Arial" w:eastAsia="Arial" w:hAnsi="Arial"/>
          <w:sz w:val="22"/>
          <w:szCs w:val="22"/>
        </w:rPr>
        <w:t xml:space="preserve">La latencia de 0.916 ms equivale a ~1090 inferencias por segundo. Para una aplicación de detección de arritmias en tiempo real (ECG muestreado a 250-500 Hz), este rendimiento sería más que suficiente.</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4. Medición de consumo energético real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El contexto del proyecto es explícito en este punto: para que el TFG sea riguroso no se pueden usar estimaciones de software, hay que leer el sensor físico INA3221. Esta prueba existe específicamente para validar que se sabe acceder a ese sensor antes de necesitarlo en los experimentos de optimización, donde la comparación de consumo energético entre modelo original y modelo optimizado será una de las métricas centrales.</w:t>
            </w:r>
          </w:p>
          <w:p>
            <w:pPr>
              <w:spacing w:before="60"/>
            </w:pPr>
            <w:r>
              <w:rPr>
                <w:rFonts w:ascii="Arial" w:cs="Arial" w:eastAsia="Arial" w:hAnsi="Arial"/>
                <w:i/>
                <w:iCs/>
                <w:color w:val="7F7F7F"/>
                <w:sz w:val="18"/>
                <w:szCs w:val="18"/>
              </w:rPr>
              <w:t xml:space="preserve">Fuente: Contexto del proyecto: ‘Consumo Energético Real... usa el sensor físico INA3221... para obtener los Watts reales’. Metodología confirmada en el informe de benchmarking de Saida, sección 6.1.2.</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4.1 Ruta del sensor en este sistema</w:t>
      </w:r>
    </w:p>
    <w:p>
      <w:pPr>
        <w:shd w:fill="F2F2F2" w:val="clear"/>
        <w:spacing w:after="80" w:before="80"/>
      </w:pPr>
      <w:r>
        <w:rPr>
          <w:rFonts w:ascii="Courier New" w:cs="Courier New" w:eastAsia="Courier New" w:hAnsi="Courier New"/>
          <w:sz w:val="20"/>
          <w:szCs w:val="20"/>
        </w:rPr>
        <w:t xml:space="preserve">/sys/bus/i2c/drivers/ina3221/1-0040/hwmon/hwmon1/curr1_input</w:t>
      </w:r>
    </w:p>
    <w:p>
      <w:pPr>
        <w:spacing w:after="80" w:before="80"/>
      </w:pPr>
      <w:r>
        <w:rPr>
          <w:rFonts w:ascii="Arial" w:cs="Arial" w:eastAsia="Arial" w:hAnsi="Arial"/>
          <w:sz w:val="22"/>
          <w:szCs w:val="22"/>
        </w:rPr>
        <w:t xml:space="preserve">El sensor de este sistema expone corriente (mA), no potencia directa (mW) como en el ejemplo original de Saida. Conversión aplicada: P(W) = I(mA) / 1000 × 5.0, asumiendo el riel de alimentación de 5V de la Jetson.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4.2 Resultados de potencia</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826"/>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Corriente (mA)</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Potencia (W)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Reposo (sistema idle)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704 – 728</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3.52 – 3.64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Inicio de entrenamiento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824 – 864</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4.12 – 4.32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 durante entrenamiento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2456</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12.28</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Pico sostenido entrenamiento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1216 – 1400</w:t>
            </w:r>
          </w:p>
        </w:tc>
        <w:tc>
          <w:tcPr>
            <w:tcW w:type="dxa" w:w="28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6.08 – 7.00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Post-entrenamiento (vuelta a idle)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704 – 728</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3.52 – 3.64</w:t>
            </w:r>
          </w:p>
        </w:tc>
      </w:tr>
    </w:tbl>
    <w:p>
      <w:pPr>
        <w:spacing w:after="120" w:before="120"/>
      </w:pPr>
      <w:r>
        <w:t xml:space="preserve"/>
      </w:r>
    </w:p>
    <w:p>
      <w:pPr>
        <w:spacing w:after="80" w:before="80"/>
      </w:pPr>
      <w:r>
        <w:rPr>
          <w:rFonts w:ascii="Arial" w:cs="Arial" w:eastAsia="Arial" w:hAnsi="Arial"/>
          <w:sz w:val="22"/>
          <w:szCs w:val="22"/>
        </w:rPr>
        <w:t xml:space="preserve">El modo de potencia activo fue MAXN SUPER (ID=2, hasta 25 W). El pico registrado (12.28 W) queda por debajo del límite térmico — no se produjo throttling, a diferencia del caso LARGE documentado por Saida, donde sí se alcanzó el techo de ~20W de la placa que ella usaba.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Comparar este pico (12.28 W) con el techo de potencia de la placa (hasta 25 W en MAXN SUPER) permite anticipar cuándo un modelo más grande empezaría a sufrir throttling térmico — el mismo fenómeno que Saida documenta para su arquitectura LARGE, que alcanzó el techo de 20W de su configuración y provocó reducción de frecuencias por protección.</w:t>
            </w:r>
          </w:p>
          <w:p>
            <w:pPr>
              <w:spacing w:before="60"/>
            </w:pPr>
            <w:r>
              <w:rPr>
                <w:rFonts w:ascii="Arial" w:cs="Arial" w:eastAsia="Arial" w:hAnsi="Arial"/>
                <w:i/>
                <w:iCs/>
                <w:color w:val="7F7F7F"/>
                <w:sz w:val="18"/>
                <w:szCs w:val="18"/>
              </w:rPr>
              <w:t xml:space="preserve">Fuente: Informe de benchmarking de Saida, sección 6.1.3: ‘LARGE reaches 19.3 W — hitting the ceiling of the MAXN SUPER mode (~20 W)’.</w:t>
            </w:r>
          </w:p>
        </w:tc>
      </w:tr>
    </w:tbl>
    <w:p>
      <w:pPr>
        <w:spacing w:after="120" w:before="120"/>
      </w:pPr>
      <w:r>
        <w:t xml:space="preserve"/>
      </w:r>
    </w:p>
    <w:p>
      <w:pPr>
        <w:pStyle w:val="Heading1"/>
        <w:spacing w:after="160" w:before="320"/>
      </w:pPr>
      <w:r>
        <w:rPr>
          <w:rFonts w:ascii="Arial" w:cs="Arial" w:eastAsia="Arial" w:hAnsi="Arial"/>
          <w:b/>
          <w:bCs/>
          <w:color w:val="1F4E79"/>
          <w:sz w:val="32"/>
          <w:szCs w:val="32"/>
        </w:rPr>
        <w:t xml:space="preserve">5. Conclusiones de la sesión y próximos pasos</w:t>
      </w:r>
    </w:p>
    <w:p>
      <w:pPr>
        <w:spacing w:after="80" w:before="80"/>
      </w:pPr>
      <w:r>
        <w:rPr>
          <w:rFonts w:ascii="Arial" w:cs="Arial" w:eastAsia="Arial" w:hAnsi="Arial"/>
          <w:sz w:val="22"/>
          <w:szCs w:val="22"/>
        </w:rPr>
        <w:t xml:space="preserve">1. La GPU solo supera a la CPU a partir de cierto tamaño de modelo — hallazgo verificado de forma independiente, coincide con el fenómeno de inversión TINY/SMALL documentado por Saida.</w:t>
      </w:r>
    </w:p>
    <w:p>
      <w:pPr>
        <w:spacing w:after="120" w:before="120"/>
      </w:pPr>
      <w:r>
        <w:t xml:space="preserve"/>
      </w:r>
    </w:p>
    <w:p>
      <w:pPr>
        <w:spacing w:after="80" w:before="80"/>
      </w:pPr>
      <w:r>
        <w:rPr>
          <w:rFonts w:ascii="Arial" w:cs="Arial" w:eastAsia="Arial" w:hAnsi="Arial"/>
          <w:sz w:val="22"/>
          <w:szCs w:val="22"/>
        </w:rPr>
        <w:t xml:space="preserve">2. La regla del ×5 de Adam se confirma empíricamente en este hardware (factor ×4.7 medido).</w:t>
      </w:r>
    </w:p>
    <w:p>
      <w:pPr>
        <w:spacing w:after="120" w:before="120"/>
      </w:pPr>
      <w:r>
        <w:t xml:space="preserve"/>
      </w:r>
    </w:p>
    <w:p>
      <w:pPr>
        <w:spacing w:after="80" w:before="80"/>
      </w:pPr>
      <w:r>
        <w:rPr>
          <w:rFonts w:ascii="Arial" w:cs="Arial" w:eastAsia="Arial" w:hAnsi="Arial"/>
          <w:sz w:val="22"/>
          <w:szCs w:val="22"/>
        </w:rPr>
        <w:t xml:space="preserve">3. El sensor INA3221 funciona y da datos reales de consumo, validando la metodología de medición energética requerida por el TFG.</w:t>
      </w:r>
    </w:p>
    <w:p>
      <w:pPr>
        <w:spacing w:after="120" w:before="120"/>
      </w:pPr>
      <w:r>
        <w:t xml:space="preserve"/>
      </w:r>
    </w:p>
    <w:p>
      <w:pPr>
        <w:spacing w:after="80" w:before="80"/>
      </w:pPr>
      <w:r>
        <w:rPr>
          <w:rFonts w:ascii="Arial" w:cs="Arial" w:eastAsia="Arial" w:hAnsi="Arial"/>
          <w:sz w:val="22"/>
          <w:szCs w:val="22"/>
        </w:rPr>
        <w:t xml:space="preserve">4. Limitación detectada para corregir: el dataset de esta sesión no tenía relación causal real señal-etiqueta. Las métricas de memoria, tiempo y potencia siguen siendo válidas; la convergencia de loss no debe interpretarse como aprendizaje real. Se corrige en la sesión 2.</w:t>
      </w:r>
    </w:p>
    <w:p>
      <w:pPr>
        <w:spacing w:after="120" w:before="120"/>
      </w:pPr>
      <w:r>
        <w:t xml:space="preserve"/>
      </w:r>
    </w:p>
    <w:p>
      <w:pPr>
        <w:spacing w:after="80" w:before="80"/>
      </w:pPr>
      <w:r>
        <w:rPr>
          <w:rFonts w:ascii="Arial" w:cs="Arial" w:eastAsia="Arial" w:hAnsi="Arial"/>
          <w:sz w:val="22"/>
          <w:szCs w:val="22"/>
        </w:rPr>
        <w:t xml:space="preserve">Próximo paso: implementar la segunda arquitectura (ResNet-1D) y, según indicación del profesor, avanzar después hacia Knowledge Distillation.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2026-06-19T11:03:39.674Z</dcterms:created>
  <dcterms:modified xsi:type="dcterms:W3CDTF">2026-06-19T11:03:39.688Z</dcterms:modified>
</cp:coreProperties>
</file>

<file path=docProps/custom.xml><?xml version="1.0" encoding="utf-8"?>
<Properties xmlns="http://schemas.openxmlformats.org/officeDocument/2006/custom-properties" xmlns:vt="http://schemas.openxmlformats.org/officeDocument/2006/docPropsVTypes"/>
</file>