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4E79"/>
          <w:sz w:val="36"/>
          <w:szCs w:val="36"/>
        </w:rPr>
        <w:t xml:space="preserve">TFG — Optimización de Modelos de IA en NVIDIA Jetson Orin Nano</w:t>
      </w:r>
    </w:p>
    <w:p>
      <w:pPr>
        <w:spacing w:after="120" w:before="0"/>
        <w:jc w:val="center"/>
      </w:pPr>
      <w:r>
        <w:rPr>
          <w:rFonts w:ascii="Arial" w:cs="Arial" w:eastAsia="Arial" w:hAnsi="Arial"/>
          <w:color w:val="2E75B6"/>
          <w:sz w:val="24"/>
          <w:szCs w:val="24"/>
        </w:rPr>
        <w:t xml:space="preserve">Informe de Sesión 2 — Implementación y caracterización de ResNet-1D</w:t>
      </w:r>
    </w:p>
    <w:p>
      <w:pPr>
        <w:spacing w:after="480" w:before="0"/>
        <w:jc w:val="center"/>
      </w:pPr>
      <w:r>
        <w:rPr>
          <w:rFonts w:ascii="Arial" w:cs="Arial" w:eastAsia="Arial" w:hAnsi="Arial"/>
          <w:color w:val="7F7F7F"/>
          <w:sz w:val="22"/>
          <w:szCs w:val="22"/>
        </w:rPr>
        <w:t xml:space="preserve">Fecha: Junio 2025</w:t>
      </w:r>
    </w:p>
    <w:p>
      <w:pPr>
        <w:pStyle w:val="Heading1"/>
        <w:spacing w:after="160" w:before="320"/>
      </w:pPr>
      <w:r>
        <w:rPr>
          <w:rFonts w:ascii="Arial" w:cs="Arial" w:eastAsia="Arial" w:hAnsi="Arial"/>
          <w:b/>
          <w:bCs/>
          <w:color w:val="1F4E79"/>
          <w:sz w:val="32"/>
          <w:szCs w:val="32"/>
        </w:rPr>
        <w:t xml:space="preserve">1. Objetivo de la sesión</w:t>
      </w:r>
    </w:p>
    <w:p>
      <w:pPr>
        <w:spacing w:after="80" w:before="80"/>
      </w:pPr>
      <w:r>
        <w:rPr>
          <w:rFonts w:ascii="Arial" w:cs="Arial" w:eastAsia="Arial" w:hAnsi="Arial"/>
          <w:sz w:val="22"/>
          <w:szCs w:val="22"/>
        </w:rPr>
        <w:t xml:space="preserve">Continuando con la indicación del profesor de implementar, entrenar e inferir con una segunda arquitectura antes de iniciar Knowledge Distillation, esta sesión se centró en el ResNet-1D: una red convolucional 1D con bloques residuales, que actuará como modelo “teacher” (profesor) en la fase de distillation, frente al MLP ya implementado en la sesión 1, que actuará como “student” (alumno).</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Se eligió ResNet-1D y no otra arquitectura convolucional porque es exactamente la que usa Saida en su informe para contrastar con el MLP, lo que permite verificar directamente su hallazgo central: que en convolucionales el cuello de botella de memoria son las activaciones, no los pesos. Sin esta segunda arquitectura no se podría hacer esa comparación, que es la base conceptual de todo el TFG.</w:t>
            </w:r>
          </w:p>
          <w:p>
            <w:pPr>
              <w:spacing w:before="60"/>
            </w:pPr>
            <w:r>
              <w:rPr>
                <w:rFonts w:ascii="Arial" w:cs="Arial" w:eastAsia="Arial" w:hAnsi="Arial"/>
                <w:i/>
                <w:iCs/>
                <w:color w:val="7F7F7F"/>
                <w:sz w:val="18"/>
                <w:szCs w:val="18"/>
              </w:rPr>
              <w:t xml:space="preserve">Fuente: Documento de tests (informe de Saida sobre ResNet-1D), sección 8: ‘Tests with a Convolutional Model — ResNet-1D’.</w:t>
            </w:r>
          </w:p>
        </w:tc>
      </w:tr>
    </w:tbl>
    <w:p>
      <w:pPr>
        <w:spacing w:after="120" w:before="120"/>
      </w:pPr>
      <w:r>
        <w:t xml:space="preserve"/>
      </w:r>
    </w:p>
    <w:p>
      <w:pPr>
        <w:spacing w:after="80" w:before="80"/>
      </w:pPr>
      <w:r>
        <w:rPr>
          <w:rFonts w:ascii="Arial" w:cs="Arial" w:eastAsia="Arial" w:hAnsi="Arial"/>
          <w:sz w:val="22"/>
          <w:szCs w:val="22"/>
        </w:rPr>
        <w:t xml:space="preserve">A diferencia de la sesión anterior, esta sesión incluyó varios problemas técnicos no triviales cuya resolución forma parte del aprendizaje documentado a continuación.</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2. Arquitectura implementada</w:t>
      </w:r>
    </w:p>
    <w:p>
      <w:pPr>
        <w:pStyle w:val="Heading2"/>
        <w:spacing w:after="120" w:before="240"/>
      </w:pPr>
      <w:r>
        <w:rPr>
          <w:rFonts w:ascii="Arial" w:cs="Arial" w:eastAsia="Arial" w:hAnsi="Arial"/>
          <w:b/>
          <w:bCs/>
          <w:color w:val="2E75B6"/>
          <w:sz w:val="26"/>
          <w:szCs w:val="26"/>
        </w:rPr>
        <w:t xml:space="preserve">2.1 Diseño del modelo</w:t>
      </w:r>
    </w:p>
    <w:p>
      <w:pPr>
        <w:spacing w:after="80" w:before="80"/>
      </w:pPr>
      <w:r>
        <w:rPr>
          <w:rFonts w:ascii="Arial" w:cs="Arial" w:eastAsia="Arial" w:hAnsi="Arial"/>
          <w:sz w:val="22"/>
          <w:szCs w:val="22"/>
        </w:rPr>
        <w:t xml:space="preserve">Se implementó un ResNet-1D con bloques residuales BasicBlock1D, cada uno compuesto por dos capas convolucionales 1D con normalización por lotes (BatchNorm) y una conexión residual (skip connection) que suma la entrada del bloque a su salida antes de la activación final.</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Filtros por capa convolucional</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Número de bloques residuales</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Kernel size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Pooling final</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Global Average Pooling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Parámetros totales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100,298</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Peso del modelo</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0.38 MB</w:t>
            </w:r>
          </w:p>
        </w:tc>
      </w:tr>
    </w:tbl>
    <w:p>
      <w:pPr>
        <w:spacing w:after="120" w:before="120"/>
      </w:pPr>
      <w:r>
        <w:t xml:space="preserve"/>
      </w:r>
    </w:p>
    <w:p>
      <w:pPr>
        <w:spacing w:after="80" w:before="80"/>
      </w:pPr>
      <w:r>
        <w:rPr>
          <w:rFonts w:ascii="Arial" w:cs="Arial" w:eastAsia="Arial" w:hAnsi="Arial"/>
          <w:sz w:val="22"/>
          <w:szCs w:val="22"/>
        </w:rPr>
        <w:t xml:space="preserve">El optimizador elegido fue SGD con momentum (0.9), no Adam. Esta decisión se justifica directamente por la metodología de Saida Mohellebi: en redes convolucionales el cuello de botella de memoria son las activaciones intermedias, no los pesos del optimizador, por lo que Adam (que añade dos buffers adicionales por parámetro) aporta poco beneficio y aumenta el riesgo de saturar la memoria.</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No fue una elección por defecto, fue una decisión informada: el propio documento de tests indica explícitamente que, ante el Error 12, hay que cambiar a SGD para reducir memoria de optimizador. Aplicarlo desde el principio en el ResNet (en vez de esperar a que fallara con Adam) es aplicar la lección ya documentada por Saida en su sección 7, donde tuvo que cambiar de Adam a SGD precisamente por este error.</w:t>
            </w:r>
          </w:p>
          <w:p>
            <w:pPr>
              <w:spacing w:before="60"/>
            </w:pPr>
            <w:r>
              <w:rPr>
                <w:rFonts w:ascii="Arial" w:cs="Arial" w:eastAsia="Arial" w:hAnsi="Arial"/>
                <w:i/>
                <w:iCs/>
                <w:color w:val="7F7F7F"/>
                <w:sz w:val="18"/>
                <w:szCs w:val="18"/>
              </w:rPr>
              <w:t xml:space="preserve">Fuente: Contexto del proyecto: ‘Gestión de Recursos... Si ocurre el Error 12, ayúdame a mitigar la fragmentación de memoria o cambiar a optimizadores como SGD’; informe de benchmarking de Saida, sección 7: ‘SGD does not store anything beyond the weights themselves and consumes 2 to 3 times less GPU memory’.</w:t>
            </w:r>
          </w:p>
        </w:tc>
      </w:tr>
    </w:tbl>
    <w:p>
      <w:pPr>
        <w:spacing w:after="120" w:before="120"/>
      </w:pPr>
      <w:r>
        <w:t xml:space="preserve"/>
      </w:r>
    </w:p>
    <w:p>
      <w:pPr>
        <w:pStyle w:val="Heading1"/>
        <w:spacing w:after="160" w:before="320"/>
      </w:pPr>
      <w:r>
        <w:rPr>
          <w:rFonts w:ascii="Arial" w:cs="Arial" w:eastAsia="Arial" w:hAnsi="Arial"/>
          <w:b/>
          <w:bCs/>
          <w:color w:val="1F4E79"/>
          <w:sz w:val="32"/>
          <w:szCs w:val="32"/>
        </w:rPr>
        <w:t xml:space="preserve">3. Incidencia 1 — Dataset sin relación causal (no convergencia)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BEB" w:val="clear"/>
            <w:tcMar>
              <w:top w:type="dxa" w:w="120"/>
              <w:left w:type="dxa" w:w="160"/>
              <w:bottom w:type="dxa" w:w="120"/>
              <w:right w:type="dxa" w:w="160"/>
            </w:tcMar>
          </w:tcPr>
          <w:p>
            <w:r>
              <w:rPr>
                <w:rFonts w:ascii="Arial" w:cs="Arial" w:eastAsia="Arial" w:hAnsi="Arial"/>
                <w:b/>
                <w:bCs/>
                <w:sz w:val="20"/>
                <w:szCs w:val="20"/>
              </w:rPr>
              <w:t xml:space="preserve">SÍNTOMA</w:t>
            </w:r>
          </w:p>
          <w:p>
            <w:pPr>
              <w:spacing w:before="60"/>
            </w:pPr>
            <w:r>
              <w:rPr>
                <w:rFonts w:ascii="Arial" w:cs="Arial" w:eastAsia="Arial" w:hAnsi="Arial"/>
                <w:sz w:val="20"/>
                <w:szCs w:val="20"/>
              </w:rPr>
              <w:t xml:space="preserve">El primer intento de entrenamiento usó un dataset puramente aleatorio (torch.randn para las señales, torch.randint para las etiquetas, sin ninguna relación entre ambos). La loss se mantuvo estancada en torno a 363-373 durante las 5 épocas, frente al valor esperado de ~2.3 para predicción aleatoria en 10 clases multiplicado por el número de batches del epoch. La red no estaba aprendiendo: no había ningún patrón que aprender.</w:t>
            </w:r>
          </w:p>
        </w:tc>
      </w:tr>
    </w:tbl>
    <w:p>
      <w:pPr>
        <w:spacing w:after="120" w:before="120"/>
      </w:pPr>
      <w:r>
        <w:t xml:space="preserve"/>
      </w:r>
    </w:p>
    <w:p>
      <w:pPr>
        <w:spacing w:after="80" w:before="80"/>
      </w:pPr>
      <w:r>
        <w:rPr>
          <w:rFonts w:ascii="Arial" w:cs="Arial" w:eastAsia="Arial" w:hAnsi="Arial"/>
          <w:sz w:val="22"/>
          <w:szCs w:val="22"/>
        </w:rPr>
        <w:t xml:space="preserve">Diagnóstico: el dataset sintético generaba señales y etiquetas de forma completamente independiente. No existía ninguna función que relacionara la entrada con la salida correcta, por lo que ninguna arquitectura, por potente que fuera, podía extraer una regla de clasificación válida.</w:t>
      </w:r>
    </w:p>
    <w:p>
      <w:pPr>
        <w:spacing w:after="120" w:before="120"/>
      </w:pPr>
      <w:r>
        <w:t xml:space="preserve"/>
      </w:r>
    </w:p>
    <w:p>
      <w:pPr>
        <w:spacing w:after="80" w:before="80"/>
      </w:pPr>
      <w:r>
        <w:rPr>
          <w:rFonts w:ascii="Arial" w:cs="Arial" w:eastAsia="Arial" w:hAnsi="Arial"/>
          <w:sz w:val="22"/>
          <w:szCs w:val="22"/>
        </w:rPr>
        <w:t xml:space="preserve">Esto contrasta con el comportamiento observado el día anterior en el MLP de la sesión 1, que sí parecía “aprender” (loss de 57.6 a 0.135) sobre datos igualmente aleatorios. La explicación es que el MLP, con 4.2 millones de parámetros frente a solo 5000 muestras de entrenamiento, tenía capacidad suficiente para memorizar el ruido específico de ese conjunto de datos (sobreajuste extremo), mientras que el ResNet, con solo 100,298 parámetros, no pudo memorizar ese mismo ruido y por tanto no mostró ninguna mejora aparente.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Este fallo, aunque no buscado, terminó siendo útil: replicar el mismo dataset roto en una arquitectura con muchos menos parámetros sirvió como prueba de control que reveló el problema del MLP de la sesión 1, que de otro modo habría pasado desapercibido (la loss bajaba, parecía funcionar). Por eso se decidió no rehacer en silencio el experimento, sino documentarlo: es la evidencia de que el dataset estaba mal, no las arquitecturas.</w:t>
            </w:r>
          </w:p>
          <w:p>
            <w:pPr>
              <w:spacing w:before="60"/>
            </w:pPr>
            <w:r>
              <w:rPr>
                <w:rFonts w:ascii="Arial" w:cs="Arial" w:eastAsia="Arial" w:hAnsi="Arial"/>
                <w:i/>
                <w:iCs/>
                <w:color w:val="7F7F7F"/>
                <w:sz w:val="18"/>
                <w:szCs w:val="18"/>
              </w:rPr>
              <w:t xml:space="preserve">Fuente: Razonamiento propio a partir de la comparación de resultados entre sesión 1 (MLP) y el primer intento de sesión 2 (ResNet).</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6EC" w:val="clear"/>
            <w:tcMar>
              <w:top w:type="dxa" w:w="120"/>
              <w:left w:type="dxa" w:w="160"/>
              <w:bottom w:type="dxa" w:w="120"/>
              <w:right w:type="dxa" w:w="160"/>
            </w:tcMar>
          </w:tcPr>
          <w:p>
            <w:r>
              <w:rPr>
                <w:rFonts w:ascii="Arial" w:cs="Arial" w:eastAsia="Arial" w:hAnsi="Arial"/>
                <w:b/>
                <w:bCs/>
                <w:sz w:val="20"/>
                <w:szCs w:val="20"/>
              </w:rPr>
              <w:t xml:space="preserve">SOLUCIÓN</w:t>
            </w:r>
          </w:p>
          <w:p>
            <w:pPr>
              <w:spacing w:before="60"/>
            </w:pPr>
            <w:r>
              <w:rPr>
                <w:rFonts w:ascii="Arial" w:cs="Arial" w:eastAsia="Arial" w:hAnsi="Arial"/>
                <w:sz w:val="20"/>
                <w:szCs w:val="20"/>
              </w:rPr>
              <w:t xml:space="preserve">Sustitución del dataset aleatorio por el dataset de señales armónicas descrito en la metodología de Saida: cada muestra es una mezcla de 5 armónicos sinusoidales con ruido gaussiano (σ=0.1), donde la etiqueta es el índice del armónico de mayor amplitud. Este dataset sí tiene una relación causal real entre señal y clase, equivalente en estructura a una señal biomédica (ECG) o de vibración mecánica.</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No se inventó un dataset nuevo: se adoptó exactamente el generador generate_dataset() que aparece en el anexo de código de Saida (sección 9.1 y 9.2 de su informe), usado tanto en su versión MLP como ResNet. Esto no es solo conveniencia, es coherencia metodológica: usar el mismo generador de datos que ella permite que los números de accuracy y convergencia obtenidos aquí sean comparables con los suyos.</w:t>
            </w:r>
          </w:p>
          <w:p>
            <w:pPr>
              <w:spacing w:before="60"/>
            </w:pPr>
            <w:r>
              <w:rPr>
                <w:rFonts w:ascii="Arial" w:cs="Arial" w:eastAsia="Arial" w:hAnsi="Arial"/>
                <w:i/>
                <w:iCs/>
                <w:color w:val="7F7F7F"/>
                <w:sz w:val="18"/>
                <w:szCs w:val="18"/>
              </w:rPr>
              <w:t xml:space="preserve">Fuente: Informe de benchmarking de Saida, sección 3.4 (‘Synthetic Dataset Generation’) y anexo 9.1/9.2 (código fuente generate_dataset).</w:t>
            </w:r>
          </w:p>
        </w:tc>
      </w:tr>
    </w:tbl>
    <w:p>
      <w:pPr>
        <w:spacing w:after="120" w:before="120"/>
      </w:pPr>
      <w:r>
        <w:t xml:space="preserve"/>
      </w:r>
    </w:p>
    <w:p>
      <w:pPr>
        <w:spacing w:after="80" w:before="80"/>
      </w:pPr>
      <w:r>
        <w:rPr>
          <w:rFonts w:ascii="Arial" w:cs="Arial" w:eastAsia="Arial" w:hAnsi="Arial"/>
          <w:sz w:val="22"/>
          <w:szCs w:val="22"/>
        </w:rPr>
        <w:t xml:space="preserve">Resultado tras el cambio: la loss bajó de 0.102 (epoch 1) a 0.0003 (epoch 5), con accuracy del 100% sobre el conjunto de entrenamiento. La arquitectura es correcta; el problema estaba en los datos, no en el modelo.</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4. Incidencia 2 — Incompatibilidad NumPy / PyTorch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BEB" w:val="clear"/>
            <w:tcMar>
              <w:top w:type="dxa" w:w="120"/>
              <w:left w:type="dxa" w:w="160"/>
              <w:bottom w:type="dxa" w:w="120"/>
              <w:right w:type="dxa" w:w="160"/>
            </w:tcMar>
          </w:tcPr>
          <w:p>
            <w:r>
              <w:rPr>
                <w:rFonts w:ascii="Arial" w:cs="Arial" w:eastAsia="Arial" w:hAnsi="Arial"/>
                <w:b/>
                <w:bCs/>
                <w:sz w:val="20"/>
                <w:szCs w:val="20"/>
              </w:rPr>
              <w:t xml:space="preserve">SÍNTOMA</w:t>
            </w:r>
          </w:p>
          <w:p>
            <w:pPr>
              <w:spacing w:before="60"/>
            </w:pPr>
            <w:r>
              <w:rPr>
                <w:rFonts w:ascii="Arial" w:cs="Arial" w:eastAsia="Arial" w:hAnsi="Arial"/>
                <w:sz w:val="20"/>
                <w:szCs w:val="20"/>
              </w:rPr>
              <w:t xml:space="preserve">Al introducir el nuevo generador de dataset (que usa NumPy para construir las señales armónicas), la ejecución falló con RuntimeError: Numpy is not available.</w:t>
            </w:r>
          </w:p>
        </w:tc>
      </w:tr>
    </w:tbl>
    <w:p>
      <w:pPr>
        <w:spacing w:after="120" w:before="120"/>
      </w:pPr>
      <w:r>
        <w:t xml:space="preserve"/>
      </w:r>
    </w:p>
    <w:p>
      <w:pPr>
        <w:spacing w:after="80" w:before="80"/>
      </w:pPr>
      <w:r>
        <w:rPr>
          <w:rFonts w:ascii="Arial" w:cs="Arial" w:eastAsia="Arial" w:hAnsi="Arial"/>
          <w:sz w:val="22"/>
          <w:szCs w:val="22"/>
        </w:rPr>
        <w:t xml:space="preserve">Diagnóstico: el sistema tenía instalada la versión NumPy 1.21.5, anterior a la requerida por la versión de PyTorch compilada para esta Jetson. Al actualizar directamente a la última versión disponible (NumPy 2.2.6) se produjo un segundo fallo: PyTorch había sido compilado contra la API de NumPy 1.x, e introducir NumPy 2.x rompe la compatibilidad binaria (mensaje: “A module that was compiled using NumPy 1.x cannot be run in NumPy 2.2.6”).</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6EC" w:val="clear"/>
            <w:tcMar>
              <w:top w:type="dxa" w:w="120"/>
              <w:left w:type="dxa" w:w="160"/>
              <w:bottom w:type="dxa" w:w="120"/>
              <w:right w:type="dxa" w:w="160"/>
            </w:tcMar>
          </w:tcPr>
          <w:p>
            <w:r>
              <w:rPr>
                <w:rFonts w:ascii="Arial" w:cs="Arial" w:eastAsia="Arial" w:hAnsi="Arial"/>
                <w:b/>
                <w:bCs/>
                <w:sz w:val="20"/>
                <w:szCs w:val="20"/>
              </w:rPr>
              <w:t xml:space="preserve">SOLUCIÓN</w:t>
            </w:r>
          </w:p>
          <w:p>
            <w:pPr>
              <w:spacing w:before="60"/>
            </w:pPr>
            <w:r>
              <w:rPr>
                <w:rFonts w:ascii="Arial" w:cs="Arial" w:eastAsia="Arial" w:hAnsi="Arial"/>
                <w:sz w:val="20"/>
                <w:szCs w:val="20"/>
              </w:rPr>
              <w:t xml:space="preserve">Fijar la versión de NumPy a la rama 1.x más reciente y estable (pip3 install "numpy&lt;2" --upgrade), evitando tanto la versión original obsoleta como el salto directo a NumPy 2.x. Versión final instalada: 1.26.4.</w:t>
            </w:r>
          </w:p>
        </w:tc>
      </w:tr>
    </w:tbl>
    <w:p>
      <w:pPr>
        <w:spacing w:after="120" w:before="120"/>
      </w:pPr>
      <w:r>
        <w:t xml:space="preserve"/>
      </w:r>
    </w:p>
    <w:p>
      <w:pPr>
        <w:spacing w:after="80" w:before="80"/>
      </w:pPr>
      <w:r>
        <w:rPr>
          <w:rFonts w:ascii="Arial" w:cs="Arial" w:eastAsia="Arial" w:hAnsi="Arial"/>
          <w:sz w:val="22"/>
          <w:szCs w:val="22"/>
        </w:rPr>
        <w:t xml:space="preserve">Esta incidencia se documenta como nota metodológica para el TFG: en entornos JetPack, las versiones de NumPy y PyTorch deben fijarse explícitamente (pinning) en lugar de instalar “la última versión disponible” de cada paquete por separado, ya que JetPack distribuye binarios de PyTorch compilados contra versiones concretas de sus dependencias.</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5. Incidencia 3 — Error 12 (NvMapMemAllocInternalTagged)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DEBEB" w:val="clear"/>
            <w:tcMar>
              <w:top w:type="dxa" w:w="120"/>
              <w:left w:type="dxa" w:w="160"/>
              <w:bottom w:type="dxa" w:w="120"/>
              <w:right w:type="dxa" w:w="160"/>
            </w:tcMar>
          </w:tcPr>
          <w:p>
            <w:r>
              <w:rPr>
                <w:rFonts w:ascii="Arial" w:cs="Arial" w:eastAsia="Arial" w:hAnsi="Arial"/>
                <w:b/>
                <w:bCs/>
                <w:sz w:val="20"/>
                <w:szCs w:val="20"/>
              </w:rPr>
              <w:t xml:space="preserve">SÍNTOMA</w:t>
            </w:r>
          </w:p>
          <w:p>
            <w:pPr>
              <w:spacing w:before="60"/>
            </w:pPr>
            <w:r>
              <w:rPr>
                <w:rFonts w:ascii="Arial" w:cs="Arial" w:eastAsia="Arial" w:hAnsi="Arial"/>
                <w:sz w:val="20"/>
                <w:szCs w:val="20"/>
              </w:rPr>
              <w:t xml:space="preserve">Con el dataset corregido, el entrenamiento se completó correctamente, pero el cálculo de accuracy posterior (que procesaba las 5000 muestras del dataset en una sola pasada, sin batching) provocó múltiples errores NvMapMemAllocInternalTagged: error 12, terminando en RuntimeError: NVML_SUCCESS == r INTERNAL ASSERT FAILED.</w:t>
            </w:r>
          </w:p>
        </w:tc>
      </w:tr>
    </w:tbl>
    <w:p>
      <w:pPr>
        <w:spacing w:after="120" w:before="120"/>
      </w:pPr>
      <w:r>
        <w:t xml:space="preserve"/>
      </w:r>
    </w:p>
    <w:p>
      <w:pPr>
        <w:spacing w:after="80" w:before="80"/>
      </w:pPr>
      <w:r>
        <w:rPr>
          <w:rFonts w:ascii="Arial" w:cs="Arial" w:eastAsia="Arial" w:hAnsi="Arial"/>
          <w:sz w:val="22"/>
          <w:szCs w:val="22"/>
        </w:rPr>
        <w:t xml:space="preserve">Diagnóstico: este es el mismo fenómeno documentado por Saida Mohellebi en la sección 7 de su informe de benchmarking. En la Jetson, CPU y GPU comparten la misma memoria física (memoria unificada). El driver NvMap requiere para sus asignaciones un bloque de memoria contiguo; aunque hubiera memoria total libre, la fragmentación impedía reservar un bloque del tamaño necesario.</w:t>
      </w:r>
    </w:p>
    <w:p>
      <w:pPr>
        <w:spacing w:after="120" w:before="120"/>
      </w:pPr>
      <w:r>
        <w:t xml:space="preserve"/>
      </w:r>
    </w:p>
    <w:p>
      <w:pPr>
        <w:spacing w:after="80" w:before="80"/>
      </w:pPr>
      <w:r>
        <w:rPr>
          <w:rFonts w:ascii="Arial" w:cs="Arial" w:eastAsia="Arial" w:hAnsi="Arial"/>
          <w:sz w:val="22"/>
          <w:szCs w:val="22"/>
        </w:rPr>
        <w:t xml:space="preserve">El origen concreto del problema: durante el entrenamiento se usó un batch size de 32, generando tensores de activación de forma [32, 64, 1024]. Al evaluar accuracy con las 5000 muestras de golpe, el tensor de activaciones pasó a ser [5000, 64, 1024] — aproximadamente 156 veces mayor —, sin que existiera un bloque contiguo de ese tamaño disponible.</w:t>
      </w:r>
    </w:p>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6E5" w:val="clear"/>
            <w:tcMar>
              <w:top w:type="dxa" w:w="120"/>
              <w:left w:type="dxa" w:w="160"/>
              <w:bottom w:type="dxa" w:w="120"/>
              <w:right w:type="dxa" w:w="160"/>
            </w:tcMar>
          </w:tcPr>
          <w:p>
            <w:r>
              <w:rPr>
                <w:rFonts w:ascii="Arial" w:cs="Arial" w:eastAsia="Arial" w:hAnsi="Arial"/>
                <w:b/>
                <w:bCs/>
                <w:color w:val="8A5A00"/>
                <w:sz w:val="20"/>
                <w:szCs w:val="20"/>
              </w:rPr>
              <w:t xml:space="preserve">¿Por qué esta prueba?</w:t>
            </w:r>
          </w:p>
          <w:p>
            <w:pPr>
              <w:spacing w:before="60"/>
            </w:pPr>
            <w:r>
              <w:rPr>
                <w:rFonts w:ascii="Arial" w:cs="Arial" w:eastAsia="Arial" w:hAnsi="Arial"/>
                <w:sz w:val="20"/>
                <w:szCs w:val="20"/>
              </w:rPr>
              <w:t xml:space="preserve">Este error no es una anécdota aislada, es la confirmación práctica del concepto central que el contexto del proyecto pide tener siempre presente: en convolucionales el factor crítico son las activaciones intermedias, que crecen con la longitud de la señal (y, como se descubrió aquí, también con el batch size). Saida documenta el mismo error exacto (NvMapMemAllocInternalTagged) en su arquitectura LARGE, también por agotar memoria de activaciones, no de pesos.</w:t>
            </w:r>
          </w:p>
          <w:p>
            <w:pPr>
              <w:spacing w:before="60"/>
            </w:pPr>
            <w:r>
              <w:rPr>
                <w:rFonts w:ascii="Arial" w:cs="Arial" w:eastAsia="Arial" w:hAnsi="Arial"/>
                <w:i/>
                <w:iCs/>
                <w:color w:val="7F7F7F"/>
                <w:sz w:val="18"/>
                <w:szCs w:val="18"/>
              </w:rPr>
              <w:t xml:space="preserve">Fuente: Contexto del proyecto: ‘La Inversión en Convolucionales... el factor crítico son las activaciones intermedias, que crecen linealmente con la longitud de la señal’; informe de benchmarking de Saida, sección 8.4.4: ‘Analysis of LARGE Architecture Failures’.</w:t>
            </w:r>
          </w:p>
        </w:tc>
      </w:tr>
    </w:tbl>
    <w:p>
      <w:pPr>
        <w:spacing w:after="12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AF6EC" w:val="clear"/>
            <w:tcMar>
              <w:top w:type="dxa" w:w="120"/>
              <w:left w:type="dxa" w:w="160"/>
              <w:bottom w:type="dxa" w:w="120"/>
              <w:right w:type="dxa" w:w="160"/>
            </w:tcMar>
          </w:tcPr>
          <w:p>
            <w:r>
              <w:rPr>
                <w:rFonts w:ascii="Arial" w:cs="Arial" w:eastAsia="Arial" w:hAnsi="Arial"/>
                <w:b/>
                <w:bCs/>
                <w:sz w:val="20"/>
                <w:szCs w:val="20"/>
              </w:rPr>
              <w:t xml:space="preserve">SOLUCIÓN</w:t>
            </w:r>
          </w:p>
          <w:p>
            <w:pPr>
              <w:spacing w:before="60"/>
            </w:pPr>
            <w:r>
              <w:rPr>
                <w:rFonts w:ascii="Arial" w:cs="Arial" w:eastAsia="Arial" w:hAnsi="Arial"/>
                <w:sz w:val="20"/>
                <w:szCs w:val="20"/>
              </w:rPr>
              <w:t xml:space="preserve">Sustituir la evaluación en un único paso por una evaluación en lotes de 32 muestras (idéntico tamaño de batch que en entrenamiento), acumulando aciertos y total de forma incremental. Esto mantiene el tamaño máximo de tensor de activaciones constante durante toda la ejecución.</w:t>
            </w:r>
          </w:p>
        </w:tc>
      </w:tr>
    </w:tbl>
    <w:p>
      <w:pPr>
        <w:spacing w:after="120" w:before="120"/>
      </w:pPr>
      <w:r>
        <w:t xml:space="preserve"/>
      </w:r>
    </w:p>
    <w:p>
      <w:pPr>
        <w:spacing w:after="80" w:before="80"/>
      </w:pPr>
      <w:r>
        <w:rPr>
          <w:rFonts w:ascii="Arial" w:cs="Arial" w:eastAsia="Arial" w:hAnsi="Arial"/>
          <w:sz w:val="22"/>
          <w:szCs w:val="22"/>
        </w:rPr>
        <w:t xml:space="preserve">Esta incidencia confirma de forma práctica uno de los conceptos clave de la metodología del TFG: en arquitecturas convolucionales sobre datos 1D, el batch size es un parámetro crítico de memoria, no solo de velocidad de entrenamiento, porque determina directamente el tamaño de las activaciones intermedias retenidas en memoria.</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6. Resultados finales — ResNet-1D</w:t>
      </w:r>
    </w:p>
    <w:p>
      <w:pPr>
        <w:pStyle w:val="Heading2"/>
        <w:spacing w:after="120" w:before="240"/>
      </w:pPr>
      <w:r>
        <w:rPr>
          <w:rFonts w:ascii="Arial" w:cs="Arial" w:eastAsia="Arial" w:hAnsi="Arial"/>
          <w:b/>
          <w:bCs/>
          <w:color w:val="2E75B6"/>
          <w:sz w:val="26"/>
          <w:szCs w:val="26"/>
        </w:rPr>
        <w:t xml:space="preserve">6.1 Entrenamiento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Tiempo total entrenamiento (5 épocas)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36,193 ms</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VRAM pico durante entrenamiento</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197.2 MB</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 proceso Python (RSS)</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1,139.0 MB</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Loss epoch 1</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0.0903</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epoch 5</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0.0003</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Accuracy (train set, evaluado por batches)</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100.0%</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6.2 Inferencia (100 ejecuciones, batch=1)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Métrica</w:t>
            </w:r>
          </w:p>
        </w:tc>
        <w:tc>
          <w:tcPr>
            <w:tcW w:type="dxa" w:w="4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Latencia media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3.593 ms</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Desviación estándar</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0.112 ms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Latencia mínima</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3.493 ms</w:t>
            </w:r>
          </w:p>
        </w:tc>
      </w:tr>
      <w:tr>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Latencia máxima</w:t>
            </w:r>
          </w:p>
        </w:tc>
        <w:tc>
          <w:tcPr>
            <w:tcW w:type="dxa" w:w="45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4.236 ms</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6.3 Consumo energético (sensor INA3221)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126"/>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Corriente (mA)</w:t>
            </w:r>
          </w:p>
        </w:tc>
        <w:tc>
          <w:tcPr>
            <w:tcW w:type="dxa" w:w="3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Potencia (W)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704 – 728</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3.52 – 3.64</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Inicio de entrenamiento</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824 – 840</w:t>
            </w:r>
          </w:p>
        </w:tc>
        <w:tc>
          <w:tcPr>
            <w:tcW w:type="dxa" w:w="3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4.12 – 4.20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Pico sostenido durante entrenamiento</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3,120 – 3,168</w:t>
            </w:r>
          </w:p>
        </w:tc>
        <w:tc>
          <w:tcPr>
            <w:tcW w:type="dxa" w:w="3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15.60 – 15.84</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Vuelta a reposo</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704 – 712</w:t>
            </w:r>
          </w:p>
        </w:tc>
        <w:tc>
          <w:tcPr>
            <w:tcW w:type="dxa" w:w="31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3.52 – 3.56</w:t>
            </w:r>
          </w:p>
        </w:tc>
      </w:tr>
    </w:tbl>
    <w:p>
      <w:pPr>
        <w:spacing w:after="120" w:before="120"/>
      </w:pPr>
      <w:r>
        <w:t xml:space="preserve"/>
      </w:r>
    </w:p>
    <w:p>
      <w:pPr>
        <w:spacing w:after="80" w:before="80"/>
      </w:pPr>
      <w:r>
        <w:rPr>
          <w:rFonts w:ascii="Arial" w:cs="Arial" w:eastAsia="Arial" w:hAnsi="Arial"/>
          <w:sz w:val="22"/>
          <w:szCs w:val="22"/>
        </w:rPr>
        <w:t xml:space="preserve">El pico de potencia (15.84 W) se mantiene de forma sostenida durante un tramo largo del entrenamiento, a diferencia del MLP de la sesión 1, donde el pico (12.28 W) fue puntual. Esto indica una carga de GPU más constante en el caso convolucional.</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7. Conclusiones de la sesión</w:t>
      </w:r>
    </w:p>
    <w:p>
      <w:pPr>
        <w:spacing w:after="80" w:before="80"/>
      </w:pPr>
      <w:r>
        <w:rPr>
          <w:rFonts w:ascii="Arial" w:cs="Arial" w:eastAsia="Arial" w:hAnsi="Arial"/>
          <w:sz w:val="22"/>
          <w:szCs w:val="22"/>
        </w:rPr>
        <w:t xml:space="preserve">1. La arquitectura ResNet-1D queda implementada, entrenada y validada con un dataset que tiene relación causal real señal-etiqueta, alcanzando 100% de accuracy sobre el conjunto de entrenamiento.</w:t>
      </w:r>
    </w:p>
    <w:p>
      <w:pPr>
        <w:spacing w:after="120" w:before="120"/>
      </w:pPr>
      <w:r>
        <w:t xml:space="preserve"/>
      </w:r>
    </w:p>
    <w:p>
      <w:pPr>
        <w:spacing w:after="80" w:before="80"/>
      </w:pPr>
      <w:r>
        <w:rPr>
          <w:rFonts w:ascii="Arial" w:cs="Arial" w:eastAsia="Arial" w:hAnsi="Arial"/>
          <w:sz w:val="22"/>
          <w:szCs w:val="22"/>
        </w:rPr>
        <w:t xml:space="preserve">2. Se han resuelto y documentado tres incidencias técnicas representativas del trabajo con hardware embebido: diseño defectuoso de dataset, incompatibilidad de versiones de dependencias, y fragmentación de memoria unificada (Error 12).</w:t>
      </w:r>
    </w:p>
    <w:p>
      <w:pPr>
        <w:spacing w:after="120" w:before="120"/>
      </w:pPr>
      <w:r>
        <w:t xml:space="preserve"/>
      </w:r>
    </w:p>
    <w:p>
      <w:pPr>
        <w:spacing w:after="80" w:before="80"/>
      </w:pPr>
      <w:r>
        <w:rPr>
          <w:rFonts w:ascii="Arial" w:cs="Arial" w:eastAsia="Arial" w:hAnsi="Arial"/>
          <w:sz w:val="22"/>
          <w:szCs w:val="22"/>
        </w:rPr>
        <w:t xml:space="preserve">3. Queda disponible el segundo modelo necesario para iniciar Knowledge Distillation: el ResNet-1D actuará como teacher y el MLP de la sesión 1 como student.</w:t>
      </w:r>
    </w:p>
    <w:p>
      <w:pPr>
        <w:spacing w:after="120" w:before="120"/>
      </w:pPr>
      <w:r>
        <w:t xml:space="preserve"/>
      </w:r>
    </w:p>
    <w:p>
      <w:pPr>
        <w:spacing w:after="80" w:before="80"/>
      </w:pPr>
      <w:r>
        <w:rPr>
          <w:rFonts w:ascii="Arial" w:cs="Arial" w:eastAsia="Arial" w:hAnsi="Arial"/>
          <w:sz w:val="22"/>
          <w:szCs w:val="22"/>
        </w:rPr>
        <w:t xml:space="preserve">Próximo paso: diseño del experimento de Knowledge Distillation entre ambas arquitecturas.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2026-06-19T11:04:39.752Z</dcterms:created>
  <dcterms:modified xsi:type="dcterms:W3CDTF">2026-06-19T11:04:39.752Z</dcterms:modified>
</cp:coreProperties>
</file>

<file path=docProps/custom.xml><?xml version="1.0" encoding="utf-8"?>
<Properties xmlns="http://schemas.openxmlformats.org/officeDocument/2006/custom-properties" xmlns:vt="http://schemas.openxmlformats.org/officeDocument/2006/docPropsVTypes"/>
</file>