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36"/>
          <w:szCs w:val="36"/>
        </w:rPr>
        <w:t xml:space="preserve">TFG — Optimización de Modelos de IA en NVIDIA Jetson Orin Nano</w:t>
      </w:r>
    </w:p>
    <w:p>
      <w:pPr>
        <w:spacing w:after="120" w:before="0"/>
        <w:jc w:val="center"/>
      </w:pPr>
      <w:r>
        <w:rPr>
          <w:rFonts w:ascii="Arial" w:cs="Arial" w:eastAsia="Arial" w:hAnsi="Arial"/>
          <w:color w:val="2E75B6"/>
          <w:sz w:val="24"/>
          <w:szCs w:val="24"/>
        </w:rPr>
        <w:t xml:space="preserve">Resumen de resultados — Sesiones 1 y 2</w:t>
      </w:r>
    </w:p>
    <w:p>
      <w:pPr>
        <w:spacing w:after="480" w:before="0"/>
        <w:jc w:val="center"/>
      </w:pPr>
      <w:r>
        <w:rPr>
          <w:rFonts w:ascii="Arial" w:cs="Arial" w:eastAsia="Arial" w:hAnsi="Arial"/>
          <w:color w:val="7F7F7F"/>
          <w:sz w:val="22"/>
          <w:szCs w:val="22"/>
        </w:rPr>
        <w:t xml:space="preserve">Fase: caracterización inicial de hardware y arquitecturas base</w:t>
      </w:r>
    </w:p>
    <w:p>
      <w:pPr>
        <w:pStyle w:val="Heading1"/>
        <w:spacing w:after="160" w:before="320"/>
      </w:pPr>
      <w:r>
        <w:rPr>
          <w:rFonts w:ascii="Arial" w:cs="Arial" w:eastAsia="Arial" w:hAnsi="Arial"/>
          <w:b/>
          <w:bCs/>
          <w:color w:val="1F4E79"/>
          <w:sz w:val="32"/>
          <w:szCs w:val="32"/>
        </w:rPr>
        <w:t xml:space="preserve">1. Objetivo de esta fase</w:t>
      </w:r>
    </w:p>
    <w:p>
      <w:pPr>
        <w:spacing w:after="80" w:before="80"/>
      </w:pPr>
      <w:r>
        <w:rPr>
          <w:rFonts w:ascii="Arial" w:cs="Arial" w:eastAsia="Arial" w:hAnsi="Arial"/>
          <w:sz w:val="22"/>
          <w:szCs w:val="22"/>
        </w:rPr>
        <w:t xml:space="preserve">Antes de aplicar las técnicas de optimización del TFG (poda, cuantización, Knowledge Distillation), el profesor solicitó establecer una base sólida: poner en marcha el entorno y demostrar capacidad de implementar, entrenar, inferir y medir parámetros críticos en dos arquitecturas representativas — un MLP (fully-connected) y un ResNet-1D (convolucional). Este documento resume los resultados obtenidos en ambas sesiones y establece los valores de referencia (baseline) para las siguientes fases del trabajo.</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2. Entorno de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Jetson Orin Nano Developer Kit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JetPack / L4T</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R36.4 (JetPack 6.x)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2.3.0 (wheel oficial NVIDIA, aarch64 + CUDA)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1.26.4 (fijado tras incompatibilidad con 1.x y 2.x)</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 unificada</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GB LPDDR5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Ampere — 1024 núcleos CUDA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Modo de potencia</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MAXN SUPER (ID=2), hasta 25 W</w:t>
            </w:r>
          </w:p>
        </w:tc>
      </w:tr>
    </w:tbl>
    <w:p>
      <w:pPr>
        <w:spacing w:after="120" w:before="120"/>
      </w:pPr>
      <w:r>
        <w:t xml:space="preserve"/>
      </w:r>
    </w:p>
    <w:p>
      <w:pPr>
        <w:pStyle w:val="Heading1"/>
        <w:spacing w:after="160" w:before="320"/>
      </w:pPr>
      <w:r>
        <w:rPr>
          <w:rFonts w:ascii="Arial" w:cs="Arial" w:eastAsia="Arial" w:hAnsi="Arial"/>
          <w:b/>
          <w:bCs/>
          <w:color w:val="1F4E79"/>
          <w:sz w:val="32"/>
          <w:szCs w:val="32"/>
        </w:rPr>
        <w:t xml:space="preserve">3. Resultados comparativos: MLP vs ResNet-1D</w:t>
      </w:r>
    </w:p>
    <w:p>
      <w:pPr>
        <w:spacing w:after="80" w:before="80"/>
      </w:pPr>
      <w:r>
        <w:rPr>
          <w:rFonts w:ascii="Arial" w:cs="Arial" w:eastAsia="Arial" w:hAnsi="Arial"/>
          <w:sz w:val="22"/>
          <w:szCs w:val="22"/>
        </w:rPr>
        <w:t xml:space="preserve">Ambos modelos se entrenaron y evaluaron sobre el mismo problema: clasificación del armónico dominante en una señal sintética de 1024 puntos (5 armónicos + ruido gaussiano), siguiendo la metodología de generación de datos validada por Saida Mohellebi. Esto garantiza que la comparación entre arquitecturas es justa — mismo problema, mismo dataset, mismo nivel de dificultad.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9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MLP</w:t>
            </w:r>
          </w:p>
        </w:tc>
        <w:tc>
          <w:tcPr>
            <w:tcW w:type="dxa" w:w="29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ResNet-1D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4,213,770 (aprox.)</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100,298</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Peso del modelo</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 MB (aprox.)</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0.38 MB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Optimizador</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SGD + momentum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Tiempo entrenamiento (5 épocas)</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2,839 ms</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36,193 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VRAM pico entrenamiento</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116.7 MB</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197.2 MB</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 proceso (RSS)</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703.3 MB</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1,139.0 MB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final</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0.135 (dataset no causal*)</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0.0003</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 (train)</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evaluada en sesión 1</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 inferencia (media)</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0.916 ms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3.593 ms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std</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0.216 ms</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0.112 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Potencia pico</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12.28 W</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15.84 W</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Potencia reposo</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W</w:t>
            </w:r>
          </w:p>
        </w:tc>
        <w:tc>
          <w:tcPr>
            <w:tcW w:type="dxa" w:w="29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W</w:t>
            </w:r>
          </w:p>
        </w:tc>
      </w:tr>
    </w:tbl>
    <w:p>
      <w:pPr>
        <w:spacing w:after="120" w:before="120"/>
      </w:pPr>
      <w:r>
        <w:t xml:space="preserve"/>
      </w:r>
    </w:p>
    <w:p>
      <w:pPr>
        <w:spacing w:after="80" w:before="80"/>
      </w:pPr>
      <w:r>
        <w:rPr>
          <w:rFonts w:ascii="Arial" w:cs="Arial" w:eastAsia="Arial" w:hAnsi="Arial"/>
          <w:sz w:val="22"/>
          <w:szCs w:val="22"/>
        </w:rPr>
        <w:t xml:space="preserve">* Nota metodológica: el MLP de la sesión 1 se entrenó sobre un dataset puramente aleatorio (sin relación causal señal-etiqueta). La caída de loss observada (57.6 → 0.135) corresponde a sobreajuste por memorización, no a aprendizaje de un patrón real — el modelo tiene 4.2M de parámetros para solo 5000 muestras. Este matiz se identificó precisamente al replicar el mismo error en el ResNet-1D, que con menos parámetros no pudo memorizar el ruido, revelando el problema de diseño del dataset. Queda pendiente repetir el benchmark del MLP con el dataset corregido (señales armónicas) para una comparación de accuracy homogénea entre ambas arquitecturas.</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4. Hallazgo central de esta fase</w:t>
      </w:r>
    </w:p>
    <w:p>
      <w:pPr>
        <w:spacing w:after="80" w:before="80"/>
      </w:pPr>
      <w:r>
        <w:rPr>
          <w:rFonts w:ascii="Arial" w:cs="Arial" w:eastAsia="Arial" w:hAnsi="Arial"/>
          <w:sz w:val="22"/>
          <w:szCs w:val="22"/>
        </w:rPr>
        <w:t xml:space="preserve">El dato más relevante para el TFG no es ningún número aislado, sino la relación entre ellos: el ResNet-1D tiene 42 veces menos parámetros que el MLP, pero consume más memoria de pico (×1.7), tarda 12 veces más en entrenar y es 4 veces más lento en inferencia.</w:t>
      </w:r>
    </w:p>
    <w:p>
      <w:pPr>
        <w:spacing w:after="120" w:before="120"/>
      </w:pPr>
      <w:r>
        <w:t xml:space="preserve"/>
      </w:r>
    </w:p>
    <w:p>
      <w:pPr>
        <w:spacing w:after="80" w:before="80"/>
      </w:pPr>
      <w:r>
        <w:rPr>
          <w:rFonts w:ascii="Arial" w:cs="Arial" w:eastAsia="Arial" w:hAnsi="Arial"/>
          <w:sz w:val="22"/>
          <w:szCs w:val="22"/>
        </w:rPr>
        <w:t xml:space="preserve">Esto confirma empíricamente, en este hardware concreto, la observación documentada por Saida Mohellebi: en arquitecturas convolucionales el factor limitante no son los pesos del modelo sino las activaciones intermedias, que escalan con el tamaño de batch y la longitud de la señal — no con el número de parámetros. El número de parámetros, por tanto, no es un predictor fiable del coste computacional real en hardware embebido, y cualquier estrategia de optimización debe evaluarse arquitectura por arquitectura, no solo por recuento de pesos.</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5. Incidencias técnicas resueltas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Incidencia</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sin soporte CUDA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Instalación vía pip estándar (versión CPU)</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 oficial NVIDIA para JetPack 6 / aarch64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ImportError libcusparselt.so.0</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Librería CUDA ausente del sistema</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apt install cuda-libraries-12-6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sin convergencia (ResNet)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Señales y etiquetas generadas sin relación causal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Sustitución por dataset de señales armónicas (Saida)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RuntimeError: Numpy is not available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NumPy 1.21.5 incompatible con el PyTorch instalado</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Actualización a numpy&lt;2 (resultado: 1.26.4)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12 (NvMapMemAllocInternalTagged)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Evaluación de 5000 muestras en un único batch; fragmentación de memoria unificada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Evaluación por lotes de 32 muestras (igual que en entrenamiento)</w:t>
            </w:r>
          </w:p>
        </w:tc>
      </w:tr>
    </w:tbl>
    <w:p>
      <w:pPr>
        <w:spacing w:after="120" w:before="120"/>
      </w:pPr>
      <w:r>
        <w:t xml:space="preserve"/>
      </w:r>
    </w:p>
    <w:p>
      <w:pPr>
        <w:spacing w:after="80" w:before="80"/>
      </w:pPr>
      <w:r>
        <w:rPr>
          <w:rFonts w:ascii="Arial" w:cs="Arial" w:eastAsia="Arial" w:hAnsi="Arial"/>
          <w:sz w:val="22"/>
          <w:szCs w:val="22"/>
        </w:rPr>
        <w:t xml:space="preserve">Estas incidencias no son ruido del proceso: documentan de primera mano las particularidades de desarrollar IA en Jetson frente a un entorno de escritorio o servidor — gestión de versiones específica de JetPack, memoria unificada CPU/GPU, y sensibilidad de las arquitecturas convolucionales al tamaño de batch.</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6. Estado del TFG y próximos pasos</w:t>
      </w:r>
    </w:p>
    <w:p>
      <w:pPr>
        <w:spacing w:after="80" w:before="80"/>
      </w:pPr>
      <w:r>
        <w:rPr>
          <w:rFonts w:ascii="Arial" w:cs="Arial" w:eastAsia="Arial" w:hAnsi="Arial"/>
          <w:sz w:val="22"/>
          <w:szCs w:val="22"/>
        </w:rPr>
        <w:t xml:space="preserve">Con estas dos sesiones se cumple el requisito previo establecido por el profesor: capacidad demostrada de implementar, entrenar, inferir y medir parámetros críticos (tiempo, memoria, potencia) en dos arquitecturas de naturaleza distinta.</w:t>
      </w:r>
    </w:p>
    <w:p>
      <w:pPr>
        <w:spacing w:after="120" w:before="120"/>
      </w:pPr>
      <w:r>
        <w:t xml:space="preserve"/>
      </w:r>
    </w:p>
    <w:p>
      <w:pPr>
        <w:spacing w:after="80" w:before="80"/>
      </w:pPr>
      <w:r>
        <w:rPr>
          <w:rFonts w:ascii="Arial" w:cs="Arial" w:eastAsia="Arial" w:hAnsi="Arial"/>
          <w:sz w:val="22"/>
          <w:szCs w:val="22"/>
        </w:rPr>
        <w:t xml:space="preserve">Próximos pasos planificados:</w:t>
      </w:r>
    </w:p>
    <w:p>
      <w:pPr>
        <w:spacing w:after="120" w:before="120"/>
      </w:pPr>
      <w:r>
        <w:t xml:space="preserve"/>
      </w:r>
    </w:p>
    <w:p>
      <w:pPr>
        <w:spacing w:after="80" w:before="80"/>
      </w:pPr>
      <w:r>
        <w:rPr>
          <w:rFonts w:ascii="Arial" w:cs="Arial" w:eastAsia="Arial" w:hAnsi="Arial"/>
          <w:sz w:val="22"/>
          <w:szCs w:val="22"/>
        </w:rPr>
        <w:t xml:space="preserve">1. Repetir el benchmark del MLP con el dataset de señales armónicas corregido, para disponer de una comparación de accuracy homogénea entre ambas arquitecturas.</w:t>
      </w:r>
    </w:p>
    <w:p>
      <w:pPr>
        <w:spacing w:after="120" w:before="120"/>
      </w:pPr>
      <w:r>
        <w:t xml:space="preserve"/>
      </w:r>
    </w:p>
    <w:p>
      <w:pPr>
        <w:spacing w:after="80" w:before="80"/>
      </w:pPr>
      <w:r>
        <w:rPr>
          <w:rFonts w:ascii="Arial" w:cs="Arial" w:eastAsia="Arial" w:hAnsi="Arial"/>
          <w:sz w:val="22"/>
          <w:szCs w:val="22"/>
        </w:rPr>
        <w:t xml:space="preserve">2. Diseñar y ejecutar el experimento de Knowledge Distillation: ResNet-1D como teacher, MLP como student, evaluando si el student con KD supera en accuracy al student entrenado de forma independiente, manteniendo su ventaja en latencia y consumo energético.</w:t>
      </w:r>
    </w:p>
    <w:p>
      <w:pPr>
        <w:spacing w:after="120" w:before="120"/>
      </w:pPr>
      <w:r>
        <w:t xml:space="preserve"/>
      </w:r>
    </w:p>
    <w:p>
      <w:pPr>
        <w:spacing w:after="80" w:before="80"/>
      </w:pPr>
      <w:r>
        <w:rPr>
          <w:rFonts w:ascii="Arial" w:cs="Arial" w:eastAsia="Arial" w:hAnsi="Arial"/>
          <w:sz w:val="22"/>
          <w:szCs w:val="22"/>
        </w:rPr>
        <w:t xml:space="preserve">3. Extender la caracterización a las arquitecturas TINY/SMALL/MEDIUM/LARGE documentadas por Saida, para situar los modelos optimizados dentro de ese espectro de tamaños.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2026-06-19T10:55:24.037Z</dcterms:created>
  <dcterms:modified xsi:type="dcterms:W3CDTF">2026-06-19T10:55:24.038Z</dcterms:modified>
</cp:coreProperties>
</file>

<file path=docProps/custom.xml><?xml version="1.0" encoding="utf-8"?>
<Properties xmlns="http://schemas.openxmlformats.org/officeDocument/2006/custom-properties" xmlns:vt="http://schemas.openxmlformats.org/officeDocument/2006/docPropsVTypes"/>
</file>