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color w:val="7F7F7F"/>
          <w:sz w:val="24"/>
          <w:szCs w:val="24"/>
        </w:rPr>
        <w:t xml:space="preserve">Documento 2 de 3</w:t>
      </w:r>
    </w:p>
    <w:p>
      <w:pPr>
        <w:spacing w:after="160" w:before="0"/>
        <w:jc w:val="center"/>
      </w:pPr>
      <w:r>
        <w:rPr>
          <w:rFonts w:ascii="Arial" w:cs="Arial" w:eastAsia="Arial" w:hAnsi="Arial"/>
          <w:b/>
          <w:bCs/>
          <w:color w:val="1F4E79"/>
          <w:sz w:val="48"/>
          <w:szCs w:val="48"/>
        </w:rPr>
        <w:t xml:space="preserve">Hardware Edge e IA Embebida</w:t>
      </w:r>
    </w:p>
    <w:p>
      <w:pPr>
        <w:spacing w:after="120" w:before="0"/>
        <w:jc w:val="center"/>
      </w:pPr>
      <w:r>
        <w:rPr>
          <w:rFonts w:ascii="Arial" w:cs="Arial" w:eastAsia="Arial" w:hAnsi="Arial"/>
          <w:color w:val="2E75B6"/>
          <w:sz w:val="28"/>
          <w:szCs w:val="28"/>
        </w:rPr>
        <w:t xml:space="preserve">La Jetson Orin Nano y sus limitaciones</w:t>
      </w:r>
    </w:p>
    <w:p>
      <w:pPr>
        <w:spacing w:after="600" w:before="0"/>
        <w:jc w:val="center"/>
      </w:pPr>
      <w:r>
        <w:rPr>
          <w:rFonts w:ascii="Arial" w:cs="Arial" w:eastAsia="Arial" w:hAnsi="Arial"/>
          <w:color w:val="7F7F7F"/>
          <w:sz w:val="20"/>
          <w:szCs w:val="20"/>
        </w:rPr>
        <w:t xml:space="preserve">TFG — Optimización de Modelos de IA en NVIDIA Jetson Orin Nano</w:t>
      </w:r>
    </w:p>
    <w:p>
      <w:pPr>
        <w:pBdr>
          <w:bottom w:val="single" w:color="CCCCCC" w:sz="4"/>
        </w:pBdr>
        <w:spacing w:after="200" w:before="200"/>
      </w:pPr>
      <w:r>
        <w:t xml:space="preserve"/>
      </w:r>
    </w:p>
    <w:p>
      <w:pPr>
        <w:spacing w:after="140" w:before="140"/>
      </w:pPr>
      <w:r>
        <w:t xml:space="preserve"/>
      </w:r>
    </w:p>
    <w:p>
      <w:pPr>
        <w:pStyle w:val="Heading1"/>
        <w:spacing w:after="180" w:before="360"/>
      </w:pPr>
      <w:r>
        <w:rPr>
          <w:rFonts w:ascii="Arial" w:cs="Arial" w:eastAsia="Arial" w:hAnsi="Arial"/>
          <w:b/>
          <w:bCs/>
          <w:color w:val="1F4E79"/>
          <w:sz w:val="32"/>
          <w:szCs w:val="32"/>
        </w:rPr>
        <w:t xml:space="preserve">1. IA en el Edge — por qué importa</w:t>
      </w:r>
    </w:p>
    <w:p>
      <w:pPr>
        <w:spacing w:after="80" w:before="80"/>
      </w:pPr>
      <w:r>
        <w:rPr>
          <w:rFonts w:ascii="Arial" w:cs="Arial" w:eastAsia="Arial" w:hAnsi="Arial"/>
          <w:sz w:val="22"/>
          <w:szCs w:val="22"/>
        </w:rPr>
        <w:t xml:space="preserve">Cuando ejecutas un modelo de IA en un servidor en la nube, no hay restricciones de memoria ni energía: tienes GPUs con decenas de GB de VRAM y cientos de vatios disponibles. Pero hay aplicaciones donde no puedes depender de la nube:</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Aplicación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 qué no puede ir a la nube</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Requisito crítico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Detección de arritmias en ambulancia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cobertura en zonas rurales, latencia vital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ms, funciona offline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Drone de inspección industrial</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 WiFi en entornos industriales, vuelo autónomo</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Bajo consumo para maximizar batería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IoT en campo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conexión permanente, miles de dispositivos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Mínima energía, coste hardware bajo</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Vehículo autónomo</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Latencia de 100ms puede costar vidas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5 ms, determinismo garantizado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Cámara de seguridad inteligente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Privacidad: los datos no deben salir del dispositivo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Procesamiento local obligatorio</w:t>
            </w:r>
          </w:p>
        </w:tc>
      </w:tr>
    </w:tbl>
    <w:p>
      <w:pPr>
        <w:spacing w:after="140" w:before="140"/>
      </w:pPr>
      <w:r>
        <w:t xml:space="preserve"/>
      </w:r>
    </w:p>
    <w:p>
      <w:pPr>
        <w:spacing w:after="80" w:before="80"/>
      </w:pPr>
      <w:r>
        <w:rPr>
          <w:rFonts w:ascii="Arial" w:cs="Arial" w:eastAsia="Arial" w:hAnsi="Arial"/>
          <w:sz w:val="22"/>
          <w:szCs w:val="22"/>
        </w:rPr>
        <w:t xml:space="preserve">En todos estos casos el modelo de IA debe ejecutarse en hardware embebido — chips pequeños, con poca memoria, poca energía y sin conexión permanente. Eso es exactamente el problema que resuelve tu TFG.</w:t>
      </w:r>
    </w:p>
    <w:p>
      <w:pPr>
        <w:spacing w:after="140" w:before="140"/>
      </w:pPr>
      <w:r>
        <w:t xml:space="preserve"/>
      </w:r>
    </w:p>
    <w:p>
      <w:pPr>
        <w:pStyle w:val="Heading1"/>
        <w:spacing w:after="180" w:before="360"/>
      </w:pPr>
      <w:r>
        <w:rPr>
          <w:rFonts w:ascii="Arial" w:cs="Arial" w:eastAsia="Arial" w:hAnsi="Arial"/>
          <w:b/>
          <w:bCs/>
          <w:color w:val="1F4E79"/>
          <w:sz w:val="32"/>
          <w:szCs w:val="32"/>
        </w:rPr>
        <w:t xml:space="preserve">2. La NVIDIA Jetson Orin Nano</w:t>
      </w:r>
    </w:p>
    <w:p>
      <w:pPr>
        <w:spacing w:after="80" w:before="80"/>
      </w:pPr>
      <w:r>
        <w:rPr>
          <w:rFonts w:ascii="Arial" w:cs="Arial" w:eastAsia="Arial" w:hAnsi="Arial"/>
          <w:sz w:val="22"/>
          <w:szCs w:val="22"/>
        </w:rPr>
        <w:t xml:space="preserve">La Jetson Orin Nano es una placa de desarrollo diseñada específicamente para ejecutar modelos de IA en el edge. No es un PC con GPU añadida — es un System-on-Chip (SoC) donde CPU, GPU y memoria están integrados en un único chip.</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2.1 Especificaciones de tu placa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c>
          <w:tcPr>
            <w:tcW w:type="dxa" w:w="3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Relevancia para 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 Cortex-A78AE — 6 núcleos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Preprocesado, postprocesado, gestión del sistema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GPU</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NVIDIA Ampere — 1024 núcleos CUDA, 32 Tensor Cores</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Entrenamiento e inferencia de modelos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 LPDDR5 unificada (compartida CPU+GPU)</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recurso más escaso — sin VRAM separada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CUDA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12.6</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Versión del toolkit de programación GPU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Arquitectura GPU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Ampere (Compute Capability 8.7)</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Soporta operaciones INT8 y FP16 aceleradas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Consumo máximo</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 W (modo MAXN SUPER)</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Límite energético de la placa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Consumo reposo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W</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Consumo base sin carga</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2.2 La característica más importante: memoria unificada</w:t>
      </w:r>
    </w:p>
    <w:p>
      <w:pPr>
        <w:spacing w:after="80" w:before="80"/>
      </w:pPr>
      <w:r>
        <w:rPr>
          <w:rFonts w:ascii="Arial" w:cs="Arial" w:eastAsia="Arial" w:hAnsi="Arial"/>
          <w:sz w:val="22"/>
          <w:szCs w:val="22"/>
        </w:rPr>
        <w:t xml:space="preserve">En un PC de sobremesa con GPU dedicada, la memoria está físicamente separada:</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PC: RAM (CPU) 16 GB ←→ PCIe ←→ VRAM (GPU) 8 GB</w:t>
      </w:r>
    </w:p>
    <w:p>
      <w:pPr>
        <w:spacing w:after="140" w:before="140"/>
      </w:pPr>
      <w:r>
        <w:t xml:space="preserve"/>
      </w:r>
    </w:p>
    <w:p>
      <w:pPr>
        <w:spacing w:after="80" w:before="80"/>
      </w:pPr>
      <w:r>
        <w:rPr>
          <w:rFonts w:ascii="Arial" w:cs="Arial" w:eastAsia="Arial" w:hAnsi="Arial"/>
          <w:sz w:val="22"/>
          <w:szCs w:val="22"/>
        </w:rPr>
        <w:t xml:space="preserve">Para pasar datos del CPU a la GPU hay que copiar explícitamente (cudaMemcpy). Esta copia tarda tiempo y limita el ancho de banda efectivo.</w:t>
      </w:r>
    </w:p>
    <w:p>
      <w:pPr>
        <w:spacing w:after="140" w:before="140"/>
      </w:pPr>
      <w:r>
        <w:t xml:space="preserve"/>
      </w:r>
    </w:p>
    <w:p>
      <w:pPr>
        <w:spacing w:after="80" w:before="80"/>
      </w:pPr>
      <w:r>
        <w:rPr>
          <w:rFonts w:ascii="Arial" w:cs="Arial" w:eastAsia="Arial" w:hAnsi="Arial"/>
          <w:sz w:val="22"/>
          <w:szCs w:val="22"/>
        </w:rPr>
        <w:t xml:space="preserve">En la Jetson, CPU y GPU comparten exactamente la misma memoria física:</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Jetson: RAM unificada 8 GB ← CPU y GPU leen/escriben el mismo banco</w:t>
      </w:r>
    </w:p>
    <w:p>
      <w:pPr>
        <w:spacing w:after="140" w:before="140"/>
      </w:pPr>
      <w:r>
        <w:t xml:space="preserve"/>
      </w:r>
    </w:p>
    <w:p>
      <w:pPr>
        <w:spacing w:after="80" w:before="80"/>
      </w:pPr>
      <w:r>
        <w:rPr>
          <w:rFonts w:ascii="Arial" w:cs="Arial" w:eastAsia="Arial" w:hAnsi="Arial"/>
          <w:sz w:val="22"/>
          <w:szCs w:val="22"/>
        </w:rPr>
        <w:t xml:space="preserve">No hay copia — CPU y GPU acceden a los mismos bytes. Cuando PyTorch hace .to('cuda'), no mueve datos físicamente, solo cambia quién tiene el control de esa región de memoria.</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Consecuencias de la memoria unificada para tu TFG</w:t>
            </w:r>
          </w:p>
          <w:p>
            <w:pPr>
              <w:spacing w:before="60"/>
            </w:pPr>
            <w:r>
              <w:rPr>
                <w:rFonts w:ascii="Arial" w:cs="Arial" w:eastAsia="Arial" w:hAnsi="Arial"/>
                <w:sz w:val="20"/>
                <w:szCs w:val="20"/>
              </w:rPr>
              <w:t xml:space="preserve">1. Ventaja: no hay overhead de transferencia CPU→GPU. El .to(device) es casi gratuito en tiempo.
2. Desventaja: CPU y GPU compiten por el mismo recurso. Cuando el modelo GPU usa 197 MB, esos 197 MB no están disponibles para otros procesos del sistema.
3. Consecuencia del Error 12: el driver NvMap (NVIDIA) necesita bloques de memoria física contiguos para sus allocations. Con memoria fragmentada (muchos bloques pequeños usados por sistema + Python + modelo), puede no encontrar un bloque grande aunque haya suficiente memoria libre en total.</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3. GPU — cómo funciona y cuándo ayuda</w:t>
      </w:r>
    </w:p>
    <w:p>
      <w:pPr>
        <w:spacing w:after="80" w:before="80"/>
      </w:pPr>
      <w:r>
        <w:rPr>
          <w:rFonts w:ascii="Arial" w:cs="Arial" w:eastAsia="Arial" w:hAnsi="Arial"/>
          <w:sz w:val="22"/>
          <w:szCs w:val="22"/>
        </w:rPr>
        <w:t xml:space="preserve">Una GPU no es simplemente una CPU más rápida. Es un tipo de procesador completamente distinto, optimizado para un tipo específico de operación.</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3.1 CPU vs GPU — filosofía de diseño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CPU (ARM Cortex-A78AE)</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GPU (NVIDIA Ampere)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Núcleos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núcleos potentes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 núcleos simples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Optimizado para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Tareas secuenciales y complejas</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Operaciones masivamente paralelas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Memoria caché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Grande (MB)</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Pequeña (KB por núcleo)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Latencia por operación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Muy baja</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Alta (overhead de lanzamiento)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 total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Moderado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alto cuando está saturada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Caso ideal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 cálculo complejo</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 millón de cálculos simples simultáneos</w:t>
            </w:r>
          </w:p>
        </w:tc>
      </w:tr>
    </w:tbl>
    <w:p>
      <w:pPr>
        <w:spacing w:after="140" w:before="140"/>
      </w:pPr>
      <w:r>
        <w:t xml:space="preserve"/>
      </w:r>
    </w:p>
    <w:p>
      <w:pPr>
        <w:spacing w:after="80" w:before="80"/>
      </w:pPr>
      <w:r>
        <w:rPr>
          <w:rFonts w:ascii="Arial" w:cs="Arial" w:eastAsia="Arial" w:hAnsi="Arial"/>
          <w:sz w:val="22"/>
          <w:szCs w:val="22"/>
        </w:rPr>
        <w:t xml:space="preserve">Las operaciones de redes neuronales (multiplicaciones de matrices) son exactamente el caso ideal para la GPU: el mismo cálculo (suma ponderada) aplicado a millones de pesos simultáneamente.</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3.2 El overhead de lanzamiento de kernels CUDA</w:t>
      </w:r>
    </w:p>
    <w:p>
      <w:pPr>
        <w:spacing w:after="80" w:before="80"/>
      </w:pPr>
      <w:r>
        <w:rPr>
          <w:rFonts w:ascii="Arial" w:cs="Arial" w:eastAsia="Arial" w:hAnsi="Arial"/>
          <w:sz w:val="22"/>
          <w:szCs w:val="22"/>
        </w:rPr>
        <w:t xml:space="preserve">Cuando Python le dice a la GPU que ejecute una operación, ocurre esto:</w:t>
      </w:r>
    </w:p>
    <w:p>
      <w:pPr>
        <w:spacing w:after="140" w:before="140"/>
      </w:pPr>
      <w:r>
        <w:t xml:space="preserve"/>
      </w:r>
    </w:p>
    <w:p>
      <w:pPr>
        <w:spacing w:after="80" w:before="80"/>
      </w:pPr>
      <w:r>
        <w:rPr>
          <w:rFonts w:ascii="Arial" w:cs="Arial" w:eastAsia="Arial" w:hAnsi="Arial"/>
          <w:sz w:val="22"/>
          <w:szCs w:val="22"/>
        </w:rPr>
        <w:t xml:space="preserve">1. Python (CPU) prepara la instrucción y la encola en la cola de comandos CUDA</w:t>
      </w:r>
    </w:p>
    <w:p>
      <w:pPr>
        <w:spacing w:after="80" w:before="80"/>
      </w:pPr>
      <w:r>
        <w:rPr>
          <w:rFonts w:ascii="Arial" w:cs="Arial" w:eastAsia="Arial" w:hAnsi="Arial"/>
          <w:sz w:val="22"/>
          <w:szCs w:val="22"/>
        </w:rPr>
        <w:t xml:space="preserve">2. El driver CUDA envía el comando a la GPU</w:t>
      </w:r>
    </w:p>
    <w:p>
      <w:pPr>
        <w:spacing w:after="80" w:before="80"/>
      </w:pPr>
      <w:r>
        <w:rPr>
          <w:rFonts w:ascii="Arial" w:cs="Arial" w:eastAsia="Arial" w:hAnsi="Arial"/>
          <w:sz w:val="22"/>
          <w:szCs w:val="22"/>
        </w:rPr>
        <w:t xml:space="preserve">3. La GPU compila el kernel (si es la primera vez) o lo recupera de caché</w:t>
      </w:r>
    </w:p>
    <w:p>
      <w:pPr>
        <w:spacing w:after="80" w:before="80"/>
      </w:pPr>
      <w:r>
        <w:rPr>
          <w:rFonts w:ascii="Arial" w:cs="Arial" w:eastAsia="Arial" w:hAnsi="Arial"/>
          <w:sz w:val="22"/>
          <w:szCs w:val="22"/>
        </w:rPr>
        <w:t xml:space="preserve">4. La GPU ejecuta el kernel en sus 1024 núcleos</w:t>
      </w:r>
    </w:p>
    <w:p>
      <w:pPr>
        <w:spacing w:after="80" w:before="80"/>
      </w:pPr>
      <w:r>
        <w:rPr>
          <w:rFonts w:ascii="Arial" w:cs="Arial" w:eastAsia="Arial" w:hAnsi="Arial"/>
          <w:sz w:val="22"/>
          <w:szCs w:val="22"/>
        </w:rPr>
        <w:t xml:space="preserve">5. El resultado queda disponible en memoria</w:t>
      </w:r>
    </w:p>
    <w:p>
      <w:pPr>
        <w:spacing w:after="140" w:before="140"/>
      </w:pPr>
      <w:r>
        <w:t xml:space="preserve"/>
      </w:r>
    </w:p>
    <w:p>
      <w:pPr>
        <w:spacing w:after="80" w:before="80"/>
      </w:pPr>
      <w:r>
        <w:rPr>
          <w:rFonts w:ascii="Arial" w:cs="Arial" w:eastAsia="Arial" w:hAnsi="Arial"/>
          <w:sz w:val="22"/>
          <w:szCs w:val="22"/>
        </w:rPr>
        <w:t xml:space="preserve">Los pasos 1-3 tienen un coste fijo independiente del tamaño del modelo: ~0.1-0.3 ms. Para un modelo pequeño (hidden=512), el cómputo útil del paso 4 tarda menos que ese overhead — por eso la CPU resultó más rápida en tu primer experimento.</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6EC" w:val="clear"/>
            <w:tcMar>
              <w:top w:type="dxa" w:w="120"/>
              <w:left w:type="dxa" w:w="160"/>
              <w:bottom w:type="dxa" w:w="120"/>
              <w:right w:type="dxa" w:w="160"/>
            </w:tcMar>
          </w:tcPr>
          <w:p>
            <w:r>
              <w:rPr>
                <w:rFonts w:ascii="Arial" w:cs="Arial" w:eastAsia="Arial" w:hAnsi="Arial"/>
                <w:b/>
                <w:bCs/>
                <w:color w:val="1A5A1A"/>
                <w:sz w:val="20"/>
                <w:szCs w:val="20"/>
              </w:rPr>
              <w:t xml:space="preserve">El punto de cruce que mediste</w:t>
            </w:r>
          </w:p>
          <w:p>
            <w:pPr>
              <w:spacing w:before="60"/>
            </w:pPr>
            <w:r>
              <w:rPr>
                <w:rFonts w:ascii="Arial" w:cs="Arial" w:eastAsia="Arial" w:hAnsi="Arial"/>
                <w:sz w:val="20"/>
                <w:szCs w:val="20"/>
              </w:rPr>
              <w:t xml:space="preserve">Con hidden=512: CPU 437ms vs GPU 441ms → empate (overhead ≥ cómputo útil).
Con hidden=2048: CPU 1655ms vs GPU 317ms → GPU ×5.2 más rápida.
Con hidden=8192: CPU 4871ms vs GPU 563ms → GPU ×8.6 más rápida.
Implicación para optimización: si la cuantización o la poda reducen demasiado el modelo, puede cruzar la frontera donde la GPU deja de compensar.</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3.3 Sincronización y asincronía CUDA</w:t>
      </w:r>
    </w:p>
    <w:p>
      <w:pPr>
        <w:spacing w:after="80" w:before="80"/>
      </w:pPr>
      <w:r>
        <w:rPr>
          <w:rFonts w:ascii="Arial" w:cs="Arial" w:eastAsia="Arial" w:hAnsi="Arial"/>
          <w:sz w:val="22"/>
          <w:szCs w:val="22"/>
        </w:rPr>
        <w:t xml:space="preserve">La GPU trabaja de forma asíncrona por defecto: cuando Python envía un comando, no espera a que termine. Esto permite que CPU y GPU trabajen en paralelo, mejorando la eficiencia.</w:t>
      </w:r>
    </w:p>
    <w:p>
      <w:pPr>
        <w:spacing w:after="140" w:before="140"/>
      </w:pPr>
      <w:r>
        <w:t xml:space="preserve"/>
      </w:r>
    </w:p>
    <w:p>
      <w:pPr>
        <w:spacing w:after="80" w:before="80"/>
      </w:pPr>
      <w:r>
        <w:rPr>
          <w:rFonts w:ascii="Arial" w:cs="Arial" w:eastAsia="Arial" w:hAnsi="Arial"/>
          <w:sz w:val="22"/>
          <w:szCs w:val="22"/>
        </w:rPr>
        <w:t xml:space="preserve">Para medir tiempos correctamente hay que forzar la sincronización:</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torch.cuda.synchronize()  →  bloquea CPU hasta que GPU termina todo lo encolado</w:t>
      </w:r>
    </w:p>
    <w:p>
      <w:pPr>
        <w:spacing w:after="140" w:before="140"/>
      </w:pPr>
      <w:r>
        <w:t xml:space="preserve"/>
      </w:r>
    </w:p>
    <w:p>
      <w:pPr>
        <w:spacing w:after="80" w:before="80"/>
      </w:pPr>
      <w:r>
        <w:rPr>
          <w:rFonts w:ascii="Arial" w:cs="Arial" w:eastAsia="Arial" w:hAnsi="Arial"/>
          <w:sz w:val="22"/>
          <w:szCs w:val="22"/>
        </w:rPr>
        <w:t xml:space="preserve">Sin synchronize(), time.perf_counter() mide solo el tiempo de encolar la instrucción (microsegundos), no el de ejecutarla (milisegundos). Es uno de los errores más comunes en benchmarks de GPU y puede subestimar la latencia real por un factor de 10x o más.</w:t>
      </w:r>
    </w:p>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4. Modos de potencia y gestión de frecuencias</w:t>
      </w:r>
    </w:p>
    <w:p>
      <w:pPr>
        <w:spacing w:after="80" w:before="80"/>
      </w:pPr>
      <w:r>
        <w:rPr>
          <w:rFonts w:ascii="Arial" w:cs="Arial" w:eastAsia="Arial" w:hAnsi="Arial"/>
          <w:sz w:val="22"/>
          <w:szCs w:val="22"/>
        </w:rPr>
        <w:t xml:space="preserve">La Jetson tiene un sistema de gestión de energía que permite configurar cuánta potencia máxima puede consumir, adaptándose a distintos escenarios de uso.</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4.1 Modos de potencia (nvpmodel)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1400"/>
        <w:gridCol w:w="1200"/>
        <w:gridCol w:w="28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CPU</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GPU máx.</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Potencia máx.</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Cuándo usar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núcleos, 1.497 GHz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612 MHz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W</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Uso general equilibrado</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25W</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núcleos, 1.728 GHz</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1020 MHz</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 W</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Máximo rendimiento sin restricción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MAXN SUPER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núcleos, 1.728 GHz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 MHz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W</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 modo por defecto. Desbloquea todo.</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núcleos, 960 MHz</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408 MHz</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 W</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Emulación Jetson Nano original</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4.2 Bloqueo de frecuencias para benchmarks reproducibles</w:t>
      </w:r>
    </w:p>
    <w:p>
      <w:pPr>
        <w:spacing w:after="80" w:before="80"/>
      </w:pPr>
      <w:r>
        <w:rPr>
          <w:rFonts w:ascii="Arial" w:cs="Arial" w:eastAsia="Arial" w:hAnsi="Arial"/>
          <w:sz w:val="22"/>
          <w:szCs w:val="22"/>
        </w:rPr>
        <w:t xml:space="preserve">Sin bloquear las frecuencias, la Jetson puede reducirlas dinámicamente (DVFS — Dynamic Voltage and Frequency Scaling) cuando detecta que la temperatura sube o que la carga baja. Esto hace que dos ejecuciones idénticas del mismo código den tiempos distintos.</w:t>
      </w:r>
    </w:p>
    <w:p>
      <w:pPr>
        <w:spacing w:after="140" w:before="140"/>
      </w:pPr>
      <w:r>
        <w:t xml:space="preserve"/>
      </w:r>
    </w:p>
    <w:p>
      <w:pPr>
        <w:spacing w:after="80" w:before="80"/>
      </w:pPr>
      <w:r>
        <w:rPr>
          <w:rFonts w:ascii="Arial" w:cs="Arial" w:eastAsia="Arial" w:hAnsi="Arial"/>
          <w:sz w:val="22"/>
          <w:szCs w:val="22"/>
        </w:rPr>
        <w:t xml:space="preserve">Para benchmarks reproducibles se usa jetson_clocks, que bloquea todas las frecuencias a su máximo y desactiva el escalado dinámico:</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sudo nvpmodel -m 2    →  activar modo MAXN SUPER</w:t>
      </w:r>
    </w:p>
    <w:p>
      <w:pPr>
        <w:shd w:fill="F2F2F2" w:val="clear"/>
        <w:spacing w:after="120" w:before="120"/>
        <w:jc w:val="center"/>
      </w:pPr>
      <w:r>
        <w:rPr>
          <w:rFonts w:ascii="Courier New" w:cs="Courier New" w:eastAsia="Courier New" w:hAnsi="Courier New"/>
          <w:b/>
          <w:bCs/>
          <w:sz w:val="22"/>
          <w:szCs w:val="22"/>
        </w:rPr>
        <w:t xml:space="preserve">sudo jetson_clocks    →  bloquear frecuencias al máximo</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BEB" w:val="clear"/>
            <w:tcMar>
              <w:top w:type="dxa" w:w="120"/>
              <w:left w:type="dxa" w:w="160"/>
              <w:bottom w:type="dxa" w:w="120"/>
              <w:right w:type="dxa" w:w="160"/>
            </w:tcMar>
          </w:tcPr>
          <w:p>
            <w:r>
              <w:rPr>
                <w:rFonts w:ascii="Arial" w:cs="Arial" w:eastAsia="Arial" w:hAnsi="Arial"/>
                <w:b/>
                <w:bCs/>
                <w:color w:val="CC0000"/>
                <w:sz w:val="20"/>
                <w:szCs w:val="20"/>
              </w:rPr>
              <w:t xml:space="preserve">Por qué no has usado jetson_clocks hasta ahora</w:t>
            </w:r>
          </w:p>
          <w:p>
            <w:pPr>
              <w:spacing w:before="60"/>
            </w:pPr>
            <w:r>
              <w:rPr>
                <w:rFonts w:ascii="Arial" w:cs="Arial" w:eastAsia="Arial" w:hAnsi="Arial"/>
                <w:sz w:val="20"/>
                <w:szCs w:val="20"/>
              </w:rPr>
              <w:t xml:space="preserve">Tus experimentos de las sesiones 1-3 no bloquearon frecuencias, lo que introduce variabilidad de ~0.1-0.2 ms entre ejecuciones. Por eso la latencia del MLP midió 0.916 ms en sesión 1 y 0.785 ms en sesión 3 con el mismo modelo — no es que el modelo sea diferente, es variabilidad del hardware. Para los benchmarks finales de la sesión 4 (cuantización, poda), añadir jetson_clocks antes de ejecutar dará resultados más reproducibles y comparables.</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5. El sensor INA3221 — medición de potencia real</w:t>
      </w:r>
    </w:p>
    <w:p>
      <w:pPr>
        <w:spacing w:after="80" w:before="80"/>
      </w:pPr>
      <w:r>
        <w:rPr>
          <w:rFonts w:ascii="Arial" w:cs="Arial" w:eastAsia="Arial" w:hAnsi="Arial"/>
          <w:sz w:val="22"/>
          <w:szCs w:val="22"/>
        </w:rPr>
        <w:t xml:space="preserve">La Jetson tiene integrado en la placa un chip llamado INA3221 (Texas Instruments). Este chip mide en tiempo real la corriente eléctrica que fluye por los rieles de alimentación del SoC — CPU, GPU y memoria — usando sensores de efecto Hall.</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5.1 Por qué usar el sensor físico y no estimaciones de software</w:t>
      </w:r>
    </w:p>
    <w:p>
      <w:pPr>
        <w:spacing w:after="80" w:before="80"/>
      </w:pPr>
      <w:r>
        <w:rPr>
          <w:rFonts w:ascii="Arial" w:cs="Arial" w:eastAsia="Arial" w:hAnsi="Arial"/>
          <w:sz w:val="22"/>
          <w:szCs w:val="22"/>
        </w:rPr>
        <w:t xml:space="preserve">Existen herramientas de software que estiman el consumo energético basándose en modelos teóricos del chip (tegrastats, por ejemplo). Estas estimaciones tienen errores de hasta un 20-30% porque no miden directamente sino que calculan a partir de frecuencias y modelos de consumo por operación.</w:t>
      </w:r>
    </w:p>
    <w:p>
      <w:pPr>
        <w:spacing w:after="140" w:before="140"/>
      </w:pPr>
      <w:r>
        <w:t xml:space="preserve"/>
      </w:r>
    </w:p>
    <w:p>
      <w:pPr>
        <w:spacing w:after="80" w:before="80"/>
      </w:pPr>
      <w:r>
        <w:rPr>
          <w:rFonts w:ascii="Arial" w:cs="Arial" w:eastAsia="Arial" w:hAnsi="Arial"/>
          <w:sz w:val="22"/>
          <w:szCs w:val="22"/>
        </w:rPr>
        <w:t xml:space="preserve">El INA3221 mide directamente la corriente en los rieles de alimentación: es la medición más precisa posible sin instrumentación externa. Es la misma fuente de datos que usa tegrastats internamente.</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5.2 Cómo se lee en Linux</w:t>
      </w:r>
    </w:p>
    <w:p>
      <w:pPr>
        <w:spacing w:after="80" w:before="80"/>
      </w:pPr>
      <w:r>
        <w:rPr>
          <w:rFonts w:ascii="Arial" w:cs="Arial" w:eastAsia="Arial" w:hAnsi="Arial"/>
          <w:sz w:val="22"/>
          <w:szCs w:val="22"/>
        </w:rPr>
        <w:t xml:space="preserve">El kernel Linux expone los registros del INA3221 a través del sistema de archivos virtual sysfs. En tu Jetson la ruta es:</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/sys/bus/i2c/drivers/ina3221/1-0040/hwmon/hwmon1/curr1_input</w:t>
      </w:r>
    </w:p>
    <w:p>
      <w:pPr>
        <w:spacing w:after="140" w:before="140"/>
      </w:pPr>
      <w:r>
        <w:t xml:space="preserve"/>
      </w:r>
    </w:p>
    <w:p>
      <w:pPr>
        <w:spacing w:after="80" w:before="80"/>
      </w:pPr>
      <w:r>
        <w:rPr>
          <w:rFonts w:ascii="Arial" w:cs="Arial" w:eastAsia="Arial" w:hAnsi="Arial"/>
          <w:sz w:val="22"/>
          <w:szCs w:val="22"/>
        </w:rPr>
        <w:t xml:space="preserve">El archivo contiene un número entero en miliamperios (mA). La conversión a vatios asume el voltaje del riel de 5V:</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P (W) = I (mA) / 1000 × 5.0</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Nota sobre la ruta hwmon1</w:t>
            </w:r>
          </w:p>
          <w:p>
            <w:pPr>
              <w:spacing w:before="60"/>
            </w:pPr>
            <w:r>
              <w:rPr>
                <w:rFonts w:ascii="Arial" w:cs="Arial" w:eastAsia="Arial" w:hAnsi="Arial"/>
                <w:sz w:val="20"/>
                <w:szCs w:val="20"/>
              </w:rPr>
              <w:t xml:space="preserve">La parte variable de la ruta (hwmon0, hwmon1, hwmon2...) la asigna el kernel al arrancar y puede cambiar entre reboots. En tu sistema resultó ser hwmon1. Si tras un reinicio el script no encuentra la ruta, busca con: sudo find /sys/bus/i2c/drivers/ina3221/ -name 'curr1_input'</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6. El Error 12 — NvMapMemAllocInternalTagged</w:t>
      </w:r>
    </w:p>
    <w:p>
      <w:pPr>
        <w:spacing w:after="80" w:before="80"/>
      </w:pPr>
      <w:r>
        <w:rPr>
          <w:rFonts w:ascii="Arial" w:cs="Arial" w:eastAsia="Arial" w:hAnsi="Arial"/>
          <w:sz w:val="22"/>
          <w:szCs w:val="22"/>
        </w:rPr>
        <w:t xml:space="preserve">Este error es específico de los chips NVIDIA Tegra (la familia de la Jetson) y no ocurre en GPUs de escritorio. Entenderlo es importante para el TFG porque define uno de los límites del hardware.</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6.1 Qué dice el error</w:t>
      </w:r>
    </w:p>
    <w:p>
      <w:pPr>
        <w:spacing w:after="80" w:before="80"/>
      </w:pPr>
      <w:r>
        <w:rPr>
          <w:rFonts w:ascii="Arial" w:cs="Arial" w:eastAsia="Arial" w:hAnsi="Arial"/>
          <w:sz w:val="22"/>
          <w:szCs w:val="22"/>
        </w:rPr>
        <w:t xml:space="preserve">'NvMapMemAllocInternalTagged: error 12' significa que el driver NvMap (el gestor de memoria de NVIDIA para Tegra) no pudo reservar el bloque de memoria solicitado. El código 12 en Linux es ENOMEM — sin memoria disponible.</w:t>
      </w:r>
    </w:p>
    <w:p>
      <w:pPr>
        <w:spacing w:after="140" w:before="140"/>
      </w:pPr>
      <w:r>
        <w:t xml:space="preserve"/>
      </w:r>
    </w:p>
    <w:p>
      <w:pPr>
        <w:spacing w:after="80" w:before="80"/>
      </w:pPr>
      <w:r>
        <w:rPr>
          <w:rFonts w:ascii="Arial" w:cs="Arial" w:eastAsia="Arial" w:hAnsi="Arial"/>
          <w:sz w:val="22"/>
          <w:szCs w:val="22"/>
        </w:rPr>
        <w:t xml:space="preserve">El matiz importante es que no significa necesariamente que no haya memoria libre en total. Significa que no hay un bloque contiguo del tamaño requerido. Es la diferencia entre:</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Memoria libre total: 2 GB  ←  podría ser suficiente</w:t>
      </w:r>
    </w:p>
    <w:p>
      <w:pPr>
        <w:shd w:fill="F2F2F2" w:val="clear"/>
        <w:spacing w:after="120" w:before="120"/>
        <w:jc w:val="center"/>
      </w:pPr>
      <w:r>
        <w:rPr>
          <w:rFonts w:ascii="Courier New" w:cs="Courier New" w:eastAsia="Courier New" w:hAnsi="Courier New"/>
          <w:b/>
          <w:bCs/>
          <w:sz w:val="22"/>
          <w:szCs w:val="22"/>
        </w:rPr>
        <w:t xml:space="preserve">Bloque contiguo máximo disponible: 300 MB  ←  puede no serlo</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6.2 Por qué ocurre la fragmentación</w:t>
      </w:r>
    </w:p>
    <w:p>
      <w:pPr>
        <w:spacing w:after="80" w:before="80"/>
      </w:pPr>
      <w:r>
        <w:rPr>
          <w:rFonts w:ascii="Arial" w:cs="Arial" w:eastAsia="Arial" w:hAnsi="Arial"/>
          <w:sz w:val="22"/>
          <w:szCs w:val="22"/>
        </w:rPr>
        <w:t xml:space="preserve">Cuando Python y PyTorch llevan tiempo ejecutándose, la memoria queda fragmentada: hay miles de bloques pequeños dispersos por la memoria física, con huecos entre ellos. El sistema operativo puede usar esos huecos para objetos pequeños, pero el driver NvMap necesita reservar la memoria completa para una operación de GPU de forma contigua.</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6.3 Cómo se produjo en tu experimento</w:t>
      </w:r>
    </w:p>
    <w:p>
      <w:pPr>
        <w:spacing w:after="80" w:before="80"/>
      </w:pPr>
      <w:r>
        <w:rPr>
          <w:rFonts w:ascii="Arial" w:cs="Arial" w:eastAsia="Arial" w:hAnsi="Arial"/>
          <w:sz w:val="22"/>
          <w:szCs w:val="22"/>
        </w:rPr>
        <w:t xml:space="preserve">Entrenabas el ResNet con batch=32: activaciones de forma [32, 64, 1024] = 8 MB por bloque. Al intentar calcular accuracy con las 5000 muestras de golpe, el tensor de activaciones pasó a [5000, 64, 1024] = 1.25 GB de golpe — imposible de reservar como bloque contiguo.</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6.4 Soluciones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Cómo</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Cuándo usar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Reducir batch size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Procesar en lotes de 32 en vez de todo junto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Siempre para evaluación de modelos convolucionales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Cambiar a SGD</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Eliminar los buffers de momentos de Adam (×2 en memoria de optimizador)</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Cuando Adam provoca OOM durante entrenamiento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torch.cuda.empty_cache()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Libera el caché del allocator de PyTorch (no siempre resuelve fragmentación)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Antes de operaciones grandes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Reiniciar el proceso Python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Limpia toda la fragmentación acumulada</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Como último recurso antes de cada benchmark limpio</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7. Emulación de la Jetson Nano original</w:t>
      </w:r>
    </w:p>
    <w:p>
      <w:pPr>
        <w:spacing w:after="80" w:before="80"/>
      </w:pPr>
      <w:r>
        <w:rPr>
          <w:rFonts w:ascii="Arial" w:cs="Arial" w:eastAsia="Arial" w:hAnsi="Arial"/>
          <w:sz w:val="22"/>
          <w:szCs w:val="22"/>
        </w:rPr>
        <w:t xml:space="preserve">El informe de Saida Mohellebi documenta cómo limitar los recursos de la Jetson Orin Nano para simular el comportamiento de la Jetson Nano original (2019), un hardware mucho más limitado. Esto permite probar si los modelos optimizados son viables en hardware aún más restrictivo.</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7.1 Diferencias entre Jetson Nano y Jetson Orin Nano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4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Jetson Nano (original)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Orin Nano (simulado)</w:t>
            </w:r>
          </w:p>
        </w:tc>
        <w:tc>
          <w:tcPr>
            <w:tcW w:type="dxa" w:w="1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Emulable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Cortex-A57, 4 núcleos, 1.43 GHz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A78AE, 4 núcleos, 960 MHz</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(parcial)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Maxwell, 128 núcleos @ 921 MHz</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Ampere, 1024 núcleos @ 408 MHz</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Parcial (solo frec.)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GB LPDDR4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 LPDDR5 (no limitada)</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con cgroups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Arquitectura GPU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Maxwell CC 5.3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Ampere CC 8.7</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emulable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 Cores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disponibles</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emulable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TDP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5-10 W</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 W (modo 7W)</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Aproximado</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7.2 Cómo simular la Jetson Nano con nvpmodel</w:t>
      </w:r>
    </w:p>
    <w:p>
      <w:pPr>
        <w:spacing w:after="80" w:before="80"/>
      </w:pPr>
      <w:r>
        <w:rPr>
          <w:rFonts w:ascii="Arial" w:cs="Arial" w:eastAsia="Arial" w:hAnsi="Arial"/>
          <w:sz w:val="22"/>
          <w:szCs w:val="22"/>
        </w:rPr>
        <w:t xml:space="preserve">El modo 7W (ID=3) es el más parecido a la Jetson Nano: 4 núcleos activos, CPU a 960 MHz, GPU a 408 MHz. Se activa con:</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sudo nvpmodel -m 3   →  activa modo 7W (4 núcleos, GPU 408 MHz)</w:t>
      </w:r>
    </w:p>
    <w:p>
      <w:pPr>
        <w:spacing w:after="140" w:before="140"/>
      </w:pPr>
      <w:r>
        <w:t xml:space="preserve"/>
      </w:r>
    </w:p>
    <w:p>
      <w:pPr>
        <w:spacing w:after="80" w:before="80"/>
      </w:pPr>
      <w:r>
        <w:rPr>
          <w:rFonts w:ascii="Arial" w:cs="Arial" w:eastAsia="Arial" w:hAnsi="Arial"/>
          <w:sz w:val="22"/>
          <w:szCs w:val="22"/>
        </w:rPr>
        <w:t xml:space="preserve">Para una simulación más precisa, el script device.sh de Saida limita también la frecuencia de la memoria (EMC) y los núcleos activos directamente vía sysfs:</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echo 408000000 | sudo tee /sys/class/devfreq/17000000.gpu/max_freq</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Límites de la emulación</w:t>
            </w:r>
          </w:p>
          <w:p>
            <w:pPr>
              <w:spacing w:before="60"/>
            </w:pPr>
            <w:r>
              <w:rPr>
                <w:rFonts w:ascii="Arial" w:cs="Arial" w:eastAsia="Arial" w:hAnsi="Arial"/>
                <w:sz w:val="20"/>
                <w:szCs w:val="20"/>
              </w:rPr>
              <w:t xml:space="preserve">La emulación es útil para: validar comportamiento bajo recursos limitados, medir impacto de frecuencia de GPU en latencia, comprobar que el modelo no supera el presupuesto de memoria de la Nano.
No es útil para: profiling exacto de GPU (la microarquitectura Ampere es completamente distinta a Maxwell), validar optimizaciones específicas de Maxwell, o certificar una app para Jetson Nano sin probarla en hardware real.</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8. Resumen — lo que debes saber de memoria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Definición en una frase</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Relevancia para tu TFG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AI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 ejecutada localmente en hardware embebido, sin conexión a la nube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objetivo de despliegue de tu TFG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SoC</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 + GPU + memoria en un único chip integrado</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 qué la Jetson tiene memoria unificada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Memoria unificada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y GPU comparten el mismo banco de RAM física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Explica el Error 12 y la lectura de RSS por psutil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DVFS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sistema reduce frecuencias dinámicamente según carga y temperatura</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 qué hay que usar jetson_clocks para benchmarks reproducibles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nvpmodel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Herramienta para configurar el modo de potencia de la Jetson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Modo 2 (MAXN SUPER) para tus experimentos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jetson_clocks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Bloquea frecuencias al máximo y desactiva DVFS</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Necesario antes de cada benchmark de latencia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INA3221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físico de corriente integrado en la placa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Única forma de medir potencia real sin estimaciones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12</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driver NvMap no encuentra bloque contiguo suficientemente grande</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Requiere batch size reducido y/o SGD en lugar de Adam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Overhead de kernel CUDA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Coste fijo de lanzar cualquier operación GPU (~0.1-0.3 ms)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Explica por qué GPU no siempre gana a CPU para modelos pequeños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cuda.synchronize()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Bloquea CPU hasta que GPU termina todo lo encolado</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Obligatorio para medir latencia GPU correctamente</w:t>
            </w:r>
          </w:p>
        </w:tc>
      </w:tr>
    </w:tbl>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2026-09-25T09:53:51.997Z</dcterms:created>
  <dcterms:modified xsi:type="dcterms:W3CDTF">2026-09-25T09:53:52.005Z</dcterms:modified>
</cp:coreProperties>
</file>

<file path=docProps/custom.xml><?xml version="1.0" encoding="utf-8"?>
<Properties xmlns="http://schemas.openxmlformats.org/officeDocument/2006/custom-properties" xmlns:vt="http://schemas.openxmlformats.org/officeDocument/2006/docPropsVTypes"/>
</file>