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Arial" w:cs="Arial" w:eastAsia="Arial" w:hAnsi="Arial"/>
          <w:color w:val="7F7F7F"/>
          <w:sz w:val="24"/>
          <w:szCs w:val="24"/>
        </w:rPr>
        <w:t xml:space="preserve">Documento 3 de 3</w:t>
      </w:r>
    </w:p>
    <w:p>
      <w:pPr>
        <w:spacing w:after="160" w:before="0"/>
        <w:jc w:val="center"/>
      </w:pPr>
      <w:r>
        <w:rPr>
          <w:rFonts w:ascii="Arial" w:cs="Arial" w:eastAsia="Arial" w:hAnsi="Arial"/>
          <w:b/>
          <w:bCs/>
          <w:color w:val="1F4E79"/>
          <w:sz w:val="48"/>
          <w:szCs w:val="48"/>
        </w:rPr>
        <w:t xml:space="preserve">Técnicas de Optimización</w:t>
      </w:r>
    </w:p>
    <w:p>
      <w:pPr>
        <w:spacing w:after="120" w:before="0"/>
        <w:jc w:val="center"/>
      </w:pPr>
      <w:r>
        <w:rPr>
          <w:rFonts w:ascii="Arial" w:cs="Arial" w:eastAsia="Arial" w:hAnsi="Arial"/>
          <w:color w:val="2E75B6"/>
          <w:sz w:val="28"/>
          <w:szCs w:val="28"/>
        </w:rPr>
        <w:t xml:space="preserve">Pruning, Cuantización y Knowledge Distillation</w:t>
      </w:r>
    </w:p>
    <w:p>
      <w:pPr>
        <w:spacing w:after="600" w:before="0"/>
        <w:jc w:val="center"/>
      </w:pPr>
      <w:r>
        <w:rPr>
          <w:rFonts w:ascii="Arial" w:cs="Arial" w:eastAsia="Arial" w:hAnsi="Arial"/>
          <w:color w:val="7F7F7F"/>
          <w:sz w:val="20"/>
          <w:szCs w:val="20"/>
        </w:rPr>
        <w:t xml:space="preserve">TFG — Optimización de Modelos de IA en NVIDIA Jetson Orin Nano</w:t>
      </w:r>
    </w:p>
    <w:p>
      <w:pPr>
        <w:pBdr>
          <w:bottom w:val="single" w:color="CCCCCC" w:sz="4"/>
        </w:pBdr>
        <w:spacing w:after="200" w:before="200"/>
      </w:pPr>
      <w:r>
        <w:t xml:space="preserve"/>
      </w:r>
    </w:p>
    <w:p>
      <w:pPr>
        <w:spacing w:after="140" w:before="140"/>
      </w:pPr>
      <w:r>
        <w:t xml:space="preserve"/>
      </w:r>
    </w:p>
    <w:p>
      <w:pPr>
        <w:pStyle w:val="Heading1"/>
        <w:spacing w:after="180" w:before="360"/>
      </w:pPr>
      <w:r>
        <w:rPr>
          <w:rFonts w:ascii="Arial" w:cs="Arial" w:eastAsia="Arial" w:hAnsi="Arial"/>
          <w:b/>
          <w:bCs/>
          <w:color w:val="1F4E79"/>
          <w:sz w:val="32"/>
          <w:szCs w:val="32"/>
        </w:rPr>
        <w:t xml:space="preserve">0. El problema que resuelven estas técnicas</w:t>
      </w:r>
    </w:p>
    <w:p>
      <w:pPr>
        <w:spacing w:after="80" w:before="80"/>
      </w:pPr>
      <w:r>
        <w:rPr>
          <w:rFonts w:ascii="Arial" w:cs="Arial" w:eastAsia="Arial" w:hAnsi="Arial"/>
          <w:sz w:val="22"/>
          <w:szCs w:val="22"/>
        </w:rPr>
        <w:t xml:space="preserve">Los modelos de IA más precisos son también los más grandes. Un ResNet-50 tiene 25 millones de parámetros y ocupa ~100 MB. Un modelo de lenguaje moderno tiene miles de millones. En un servidor, esto no es un problema. En una Jetson con 8 GB de RAM compartida entre CPU y GPU, sí lo es.</w:t>
      </w:r>
    </w:p>
    <w:p>
      <w:pPr>
        <w:spacing w:after="140" w:before="140"/>
      </w:pPr>
      <w:r>
        <w:t xml:space="preserve"/>
      </w:r>
    </w:p>
    <w:p>
      <w:pPr>
        <w:spacing w:after="80" w:before="80"/>
      </w:pPr>
      <w:r>
        <w:rPr>
          <w:rFonts w:ascii="Arial" w:cs="Arial" w:eastAsia="Arial" w:hAnsi="Arial"/>
          <w:sz w:val="22"/>
          <w:szCs w:val="22"/>
        </w:rPr>
        <w:t xml:space="preserve">Las técnicas de optimización buscan reducir el tamaño y el coste computacional de los modelos sin sacrificar demasiada precisión. Son el puente entre 'el modelo que funciona bien' y 'el modelo que cabe en el hardware'.</w:t>
      </w:r>
    </w:p>
    <w:p>
      <w:pPr>
        <w:spacing w:after="140" w:before="1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200"/>
        <w:gridCol w:w="2426"/>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Técnica</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Qué reduce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Precio</w:t>
            </w:r>
          </w:p>
        </w:tc>
        <w:tc>
          <w:tcPr>
            <w:tcW w:type="dxa" w:w="24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Cuándo usar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Pruning (Poda)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Número de parámetros activos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Puede perder accuracy si es agresiva</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Modelos con muchos pesos redundantes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Cuantización</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Precisión numérica (bits)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Pérdida pequeña de accuracy</w:t>
            </w:r>
          </w:p>
        </w:tc>
        <w:tc>
          <w:tcPr>
            <w:tcW w:type="dxa" w:w="2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Siempre — es la más práctica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Knowledge Distillation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Tamaño del modelo (arquitectura)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Requiere entrenar de nuevo</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Cuando el modelo base es demasiado grande</w:t>
            </w:r>
          </w:p>
        </w:tc>
      </w:tr>
    </w:tbl>
    <w:p>
      <w:pPr>
        <w:spacing w:after="140" w:before="1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6E5" w:val="clear"/>
            <w:tcMar>
              <w:top w:type="dxa" w:w="120"/>
              <w:left w:type="dxa" w:w="160"/>
              <w:bottom w:type="dxa" w:w="120"/>
              <w:right w:type="dxa" w:w="160"/>
            </w:tcMar>
          </w:tcPr>
          <w:p>
            <w:r>
              <w:rPr>
                <w:rFonts w:ascii="Arial" w:cs="Arial" w:eastAsia="Arial" w:hAnsi="Arial"/>
                <w:b/>
                <w:bCs/>
                <w:color w:val="8A5A00"/>
                <w:sz w:val="20"/>
                <w:szCs w:val="20"/>
              </w:rPr>
              <w:t xml:space="preserve">El orden correcto en tu TFG</w:t>
            </w:r>
          </w:p>
          <w:p>
            <w:pPr>
              <w:spacing w:before="60"/>
            </w:pPr>
            <w:r>
              <w:rPr>
                <w:rFonts w:ascii="Arial" w:cs="Arial" w:eastAsia="Arial" w:hAnsi="Arial"/>
                <w:sz w:val="20"/>
                <w:szCs w:val="20"/>
              </w:rPr>
              <w:t xml:space="preserve">KD primero (obtener el mejor student posible), cuantización después (comprimir ese student), poda por último (eliminar redundancias residuales). Este es el orden que maximiza la accuracy final: cada técnica parte del mejor modelo disponible hasta ese momento.</w:t>
            </w:r>
          </w:p>
        </w:tc>
      </w:tr>
    </w:tbl>
    <w:p>
      <w:pPr>
        <w:spacing w:after="140" w:before="140"/>
      </w:pPr>
      <w:r>
        <w:t xml:space="preserve"/>
      </w:r>
    </w:p>
    <w:p>
      <w:r>
        <w:br/>
      </w:r>
    </w:p>
    <w:p>
      <w:pPr>
        <w:pStyle w:val="Heading1"/>
        <w:spacing w:after="180" w:before="360"/>
      </w:pPr>
      <w:r>
        <w:rPr>
          <w:rFonts w:ascii="Arial" w:cs="Arial" w:eastAsia="Arial" w:hAnsi="Arial"/>
          <w:b/>
          <w:bCs/>
          <w:color w:val="1F4E79"/>
          <w:sz w:val="32"/>
          <w:szCs w:val="32"/>
        </w:rPr>
        <w:t xml:space="preserve">1. Pruning — Poda de redes neuronales</w:t>
      </w:r>
    </w:p>
    <w:p>
      <w:pPr>
        <w:spacing w:after="80" w:before="80"/>
      </w:pPr>
      <w:r>
        <w:rPr>
          <w:rFonts w:ascii="Arial" w:cs="Arial" w:eastAsia="Arial" w:hAnsi="Arial"/>
          <w:sz w:val="22"/>
          <w:szCs w:val="22"/>
        </w:rPr>
        <w:t xml:space="preserve">La poda es la técnica más intuitiva: eliminar los pesos que aportan poco a la predicción final, reduciendo el modelo sin reentrenarlo desde cero.</w:t>
      </w:r>
    </w:p>
    <w:p>
      <w:pPr>
        <w:spacing w:after="140" w:before="140"/>
      </w:pPr>
      <w:r>
        <w:t xml:space="preserve"/>
      </w:r>
    </w:p>
    <w:p>
      <w:pPr>
        <w:spacing w:after="80" w:before="80"/>
      </w:pPr>
      <w:r>
        <w:rPr>
          <w:rFonts w:ascii="Arial" w:cs="Arial" w:eastAsia="Arial" w:hAnsi="Arial"/>
          <w:sz w:val="22"/>
          <w:szCs w:val="22"/>
        </w:rPr>
        <w:t xml:space="preserve">La motivación viene de una observación empírica conocida como la 'Lottery Ticket Hypothesis' (Frankle &amp; Carlin, 2019): dentro de una red neuronal grande existe una subred más pequeña que, si se entrena de forma aislada desde el principio, alcanza la misma accuracy. La poda intenta encontrar esa subred.</w:t>
      </w:r>
    </w:p>
    <w:p>
      <w:pPr>
        <w:spacing w:after="140" w:before="140"/>
      </w:pPr>
      <w:r>
        <w:t xml:space="preserve"/>
      </w:r>
    </w:p>
    <w:p>
      <w:pPr>
        <w:pStyle w:val="Heading2"/>
        <w:spacing w:after="140" w:before="280"/>
      </w:pPr>
      <w:r>
        <w:rPr>
          <w:rFonts w:ascii="Arial" w:cs="Arial" w:eastAsia="Arial" w:hAnsi="Arial"/>
          <w:b/>
          <w:bCs/>
          <w:color w:val="2E75B6"/>
          <w:sz w:val="26"/>
          <w:szCs w:val="26"/>
        </w:rPr>
        <w:t xml:space="preserve">1.1 Tipos de poda</w:t>
      </w:r>
    </w:p>
    <w:p>
      <w:pPr>
        <w:pStyle w:val="Heading3"/>
        <w:spacing w:after="100" w:before="220"/>
      </w:pPr>
      <w:r>
        <w:rPr>
          <w:rFonts w:ascii="Arial" w:cs="Arial" w:eastAsia="Arial" w:hAnsi="Arial"/>
          <w:b/>
          <w:bCs/>
          <w:color w:val="404040"/>
          <w:sz w:val="24"/>
          <w:szCs w:val="24"/>
        </w:rPr>
        <w:t xml:space="preserve">Poda no estructurada (Unstructured Pruning)</w:t>
      </w:r>
    </w:p>
    <w:p>
      <w:pPr>
        <w:spacing w:after="80" w:before="80"/>
      </w:pPr>
      <w:r>
        <w:rPr>
          <w:rFonts w:ascii="Arial" w:cs="Arial" w:eastAsia="Arial" w:hAnsi="Arial"/>
          <w:sz w:val="22"/>
          <w:szCs w:val="22"/>
        </w:rPr>
        <w:t xml:space="preserve">Elimina pesos individuales poniendo a cero los de menor valor absoluto. El criterio L1 ordena todos los pesos por |w| y elimina el X% más pequeño.</w:t>
      </w:r>
    </w:p>
    <w:p>
      <w:pPr>
        <w:spacing w:after="140" w:before="140"/>
      </w:pPr>
      <w:r>
        <w:t xml:space="preserve"/>
      </w:r>
    </w:p>
    <w:p>
      <w:pPr>
        <w:shd w:fill="F2F2F2" w:val="clear"/>
        <w:spacing w:after="120" w:before="120"/>
        <w:jc w:val="center"/>
      </w:pPr>
      <w:r>
        <w:rPr>
          <w:rFonts w:ascii="Courier New" w:cs="Courier New" w:eastAsia="Courier New" w:hAnsi="Courier New"/>
          <w:b/>
          <w:bCs/>
          <w:sz w:val="22"/>
          <w:szCs w:val="22"/>
        </w:rPr>
        <w:t xml:space="preserve">L1 Unstructured: eliminar pesos donde |w| &lt; umbral</w:t>
      </w:r>
    </w:p>
    <w:p>
      <w:pPr>
        <w:spacing w:after="140" w:before="140"/>
      </w:pPr>
      <w:r>
        <w:t xml:space="preserve"/>
      </w:r>
    </w:p>
    <w:p>
      <w:pPr>
        <w:spacing w:after="80" w:before="80"/>
      </w:pPr>
      <w:r>
        <w:rPr>
          <w:rFonts w:ascii="Arial" w:cs="Arial" w:eastAsia="Arial" w:hAnsi="Arial"/>
          <w:sz w:val="22"/>
          <w:szCs w:val="22"/>
        </w:rPr>
        <w:t xml:space="preserve">El modelo resultante tiene el mismo número de capas y neuronas, pero con muchos pesos en cero. Esto se llama red sparse (dispersa). En teoría es más pequeña; en práctica, la aceleración en GPU no siempre se materializa porque las GPUs están optimizadas para operaciones densas, no sparse.</w:t>
      </w:r>
    </w:p>
    <w:p>
      <w:pPr>
        <w:spacing w:after="140" w:before="140"/>
      </w:pPr>
      <w:r>
        <w:t xml:space="preserve"/>
      </w:r>
    </w:p>
    <w:p>
      <w:pPr>
        <w:pStyle w:val="Heading3"/>
        <w:spacing w:after="100" w:before="220"/>
      </w:pPr>
      <w:r>
        <w:rPr>
          <w:rFonts w:ascii="Arial" w:cs="Arial" w:eastAsia="Arial" w:hAnsi="Arial"/>
          <w:b/>
          <w:bCs/>
          <w:color w:val="404040"/>
          <w:sz w:val="24"/>
          <w:szCs w:val="24"/>
        </w:rPr>
        <w:t xml:space="preserve">Poda estructurada (Structured Pruning)</w:t>
      </w:r>
    </w:p>
    <w:p>
      <w:pPr>
        <w:spacing w:after="80" w:before="80"/>
      </w:pPr>
      <w:r>
        <w:rPr>
          <w:rFonts w:ascii="Arial" w:cs="Arial" w:eastAsia="Arial" w:hAnsi="Arial"/>
          <w:sz w:val="22"/>
          <w:szCs w:val="22"/>
        </w:rPr>
        <w:t xml:space="preserve">Elimina neuronas, filtros o capas enteras. El modelo resultante es físicamente más pequeño — menos neuronas significa menos multiplicaciones, menos latencia, menos memoria. Es más difícil de implementar pero produce ganancias reales en hardware.</w:t>
      </w:r>
    </w:p>
    <w:p>
      <w:pPr>
        <w:spacing w:after="140" w:before="1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800"/>
        <w:gridCol w:w="1800"/>
        <w:gridCol w:w="1026"/>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Qué elimina</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Reduce tamaño real</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Acelera en GPU</w:t>
            </w:r>
          </w:p>
        </w:tc>
        <w:tc>
          <w:tcPr>
            <w:tcW w:type="dxa" w:w="1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Dificultad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estructurada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Pesos individuales (ceros)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(misma arquitectura)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(GPU no explota sparsity)</w:t>
            </w:r>
          </w:p>
        </w:tc>
        <w:tc>
          <w:tcPr>
            <w:tcW w:type="dxa" w:w="1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Baja</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Estructurada (neuronas)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Neuronas enteras de capas Linear</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Sí (menos neuronas)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Sí</w:t>
            </w:r>
          </w:p>
        </w:tc>
        <w:tc>
          <w:tcPr>
            <w:tcW w:type="dxa" w:w="1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Media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Estructurada (filtros)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Filtros enteros de capas Conv</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Sí (menos filtros)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Sí</w:t>
            </w:r>
          </w:p>
        </w:tc>
        <w:tc>
          <w:tcPr>
            <w:tcW w:type="dxa" w:w="1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Alta</w:t>
            </w:r>
          </w:p>
        </w:tc>
      </w:tr>
    </w:tbl>
    <w:p>
      <w:pPr>
        <w:spacing w:after="140" w:before="1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6E5" w:val="clear"/>
            <w:tcMar>
              <w:top w:type="dxa" w:w="120"/>
              <w:left w:type="dxa" w:w="160"/>
              <w:bottom w:type="dxa" w:w="120"/>
              <w:right w:type="dxa" w:w="160"/>
            </w:tcMar>
          </w:tcPr>
          <w:p>
            <w:r>
              <w:rPr>
                <w:rFonts w:ascii="Arial" w:cs="Arial" w:eastAsia="Arial" w:hAnsi="Arial"/>
                <w:b/>
                <w:bCs/>
                <w:color w:val="8A5A00"/>
                <w:sz w:val="20"/>
                <w:szCs w:val="20"/>
              </w:rPr>
              <w:t xml:space="preserve">En tu TFG usas poda no estructurada L1</w:t>
            </w:r>
          </w:p>
          <w:p>
            <w:pPr>
              <w:spacing w:before="60"/>
            </w:pPr>
            <w:r>
              <w:rPr>
                <w:rFonts w:ascii="Arial" w:cs="Arial" w:eastAsia="Arial" w:hAnsi="Arial"/>
                <w:sz w:val="20"/>
                <w:szCs w:val="20"/>
              </w:rPr>
              <w:t xml:space="preserve">Tu script pruning.py usa torch.nn.utils.prune.l1_unstructured() con ratios 30%, 50%, 70%, 90%. El objetivo en tu caso no es acelerar la GPU sino demostrar cuánta información redundante tiene el modelo (cuántos pesos puede perder antes de degradarse) y medir el punto de ruptura.</w:t>
            </w:r>
          </w:p>
        </w:tc>
      </w:tr>
    </w:tbl>
    <w:p>
      <w:pPr>
        <w:spacing w:after="140" w:before="140"/>
      </w:pPr>
      <w:r>
        <w:t xml:space="preserve"/>
      </w:r>
    </w:p>
    <w:p>
      <w:pPr>
        <w:pStyle w:val="Heading2"/>
        <w:spacing w:after="140" w:before="280"/>
      </w:pPr>
      <w:r>
        <w:rPr>
          <w:rFonts w:ascii="Arial" w:cs="Arial" w:eastAsia="Arial" w:hAnsi="Arial"/>
          <w:b/>
          <w:bCs/>
          <w:color w:val="2E75B6"/>
          <w:sz w:val="26"/>
          <w:szCs w:val="26"/>
        </w:rPr>
        <w:t xml:space="preserve">1.2 El proceso de poda con fine-tuning</w:t>
      </w:r>
    </w:p>
    <w:p>
      <w:pPr>
        <w:spacing w:after="80" w:before="80"/>
      </w:pPr>
      <w:r>
        <w:rPr>
          <w:rFonts w:ascii="Arial" w:cs="Arial" w:eastAsia="Arial" w:hAnsi="Arial"/>
          <w:sz w:val="22"/>
          <w:szCs w:val="22"/>
        </w:rPr>
        <w:t xml:space="preserve">La poda sola suele degradar la accuracy. El flujo estándar es:</w:t>
      </w:r>
    </w:p>
    <w:p>
      <w:pPr>
        <w:spacing w:after="140" w:before="140"/>
      </w:pPr>
      <w:r>
        <w:t xml:space="preserve"/>
      </w:r>
    </w:p>
    <w:p>
      <w:pPr>
        <w:shd w:fill="F2F2F2" w:val="clear"/>
        <w:spacing w:after="120" w:before="120"/>
        <w:jc w:val="center"/>
      </w:pPr>
      <w:r>
        <w:rPr>
          <w:rFonts w:ascii="Courier New" w:cs="Courier New" w:eastAsia="Courier New" w:hAnsi="Courier New"/>
          <w:b/>
          <w:bCs/>
          <w:sz w:val="22"/>
          <w:szCs w:val="22"/>
        </w:rPr>
        <w:t xml:space="preserve">Modelo entrenado → Podar X% de pesos → Fine-tuning breve → Modelo podado</w:t>
      </w:r>
    </w:p>
    <w:p>
      <w:pPr>
        <w:spacing w:after="140" w:before="140"/>
      </w:pPr>
      <w:r>
        <w:t xml:space="preserve"/>
      </w:r>
    </w:p>
    <w:p>
      <w:pPr>
        <w:spacing w:after="80" w:before="80"/>
      </w:pPr>
      <w:r>
        <w:rPr>
          <w:rFonts w:ascii="Arial" w:cs="Arial" w:eastAsia="Arial" w:hAnsi="Arial"/>
          <w:sz w:val="22"/>
          <w:szCs w:val="22"/>
        </w:rPr>
        <w:t xml:space="preserve">El fine-tuning es un reentrenamiento corto (pocos epochs, learning rate bajo) que permite a la red 'repararse' después de la poda: los pesos restantes se redistribuyen para compensar los eliminados. Sin fine-tuning, poda del 50% puede costar 10 puntos de accuracy; con fine-tuning, puede costar solo 1-2.</w:t>
      </w:r>
    </w:p>
    <w:p>
      <w:pPr>
        <w:spacing w:after="140" w:before="140"/>
      </w:pPr>
      <w:r>
        <w:t xml:space="preserve"/>
      </w:r>
    </w:p>
    <w:p>
      <w:pPr>
        <w:pStyle w:val="Heading2"/>
        <w:spacing w:after="140" w:before="280"/>
      </w:pPr>
      <w:r>
        <w:rPr>
          <w:rFonts w:ascii="Arial" w:cs="Arial" w:eastAsia="Arial" w:hAnsi="Arial"/>
          <w:b/>
          <w:bCs/>
          <w:color w:val="2E75B6"/>
          <w:sz w:val="26"/>
          <w:szCs w:val="26"/>
        </w:rPr>
        <w:t xml:space="preserve">1.3 La curva de poda — qué esperar</w:t>
      </w:r>
    </w:p>
    <w:p>
      <w:pPr>
        <w:spacing w:after="80" w:before="80"/>
      </w:pPr>
      <w:r>
        <w:rPr>
          <w:rFonts w:ascii="Arial" w:cs="Arial" w:eastAsia="Arial" w:hAnsi="Arial"/>
          <w:sz w:val="22"/>
          <w:szCs w:val="22"/>
        </w:rPr>
        <w:t xml:space="preserve">La relación entre ratio de poda y pérdida de accuracy no es lineal. Tiene esta forma característica:</w:t>
      </w:r>
    </w:p>
    <w:p>
      <w:pPr>
        <w:spacing w:after="140" w:before="1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Ratio de poda</w:t>
            </w:r>
          </w:p>
        </w:tc>
        <w:tc>
          <w:tcPr>
            <w:tcW w:type="dxa" w:w="7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Comportamiento típico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0-30%</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Pérdida de accuracy mínima (&lt;1%). La red tiene mucha redundancia.</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30-60%</w:t>
            </w:r>
          </w:p>
        </w:tc>
        <w:tc>
          <w:tcPr>
            <w:tcW w:type="dxa" w:w="7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Pérdida moderada (1-3%). El fine-tuning recupera casi todo.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60-80%</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Pérdida notable (3-10%). El fine-tuning ayuda pero no recupera todo.</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80-95%</w:t>
            </w:r>
          </w:p>
        </w:tc>
        <w:tc>
          <w:tcPr>
            <w:tcW w:type="dxa" w:w="7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Degradación severa. La red pierde capacidad fundamental.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&gt;95%</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 red se vuelve inútil. Demasiados pesos necesarios eliminados.</w:t>
            </w:r>
          </w:p>
        </w:tc>
      </w:tr>
    </w:tbl>
    <w:p>
      <w:pPr>
        <w:spacing w:after="140" w:before="140"/>
      </w:pPr>
      <w:r>
        <w:t xml:space="preserve"/>
      </w:r>
    </w:p>
    <w:p>
      <w:pPr>
        <w:spacing w:after="80" w:before="80"/>
      </w:pPr>
      <w:r>
        <w:rPr>
          <w:rFonts w:ascii="Arial" w:cs="Arial" w:eastAsia="Arial" w:hAnsi="Arial"/>
          <w:sz w:val="22"/>
          <w:szCs w:val="22"/>
        </w:rPr>
        <w:t xml:space="preserve">Tu experimento con ratios 30%, 50%, 70%, 90% cubre toda esta curva. El resultado más interesante es el punto de inflexión: el ratio máximo que mantiene accuracy aceptable con fine-tuning.</w:t>
      </w:r>
    </w:p>
    <w:p>
      <w:pPr>
        <w:spacing w:after="140" w:before="140"/>
      </w:pPr>
      <w:r>
        <w:t xml:space="preserve"/>
      </w:r>
    </w:p>
    <w:p>
      <w:r>
        <w:br/>
      </w:r>
    </w:p>
    <w:p>
      <w:pPr>
        <w:pStyle w:val="Heading1"/>
        <w:spacing w:after="180" w:before="360"/>
      </w:pPr>
      <w:r>
        <w:rPr>
          <w:rFonts w:ascii="Arial" w:cs="Arial" w:eastAsia="Arial" w:hAnsi="Arial"/>
          <w:b/>
          <w:bCs/>
          <w:color w:val="1F4E79"/>
          <w:sz w:val="32"/>
          <w:szCs w:val="32"/>
        </w:rPr>
        <w:t xml:space="preserve">2. Cuantización</w:t>
      </w:r>
    </w:p>
    <w:p>
      <w:pPr>
        <w:spacing w:after="80" w:before="80"/>
      </w:pPr>
      <w:r>
        <w:rPr>
          <w:rFonts w:ascii="Arial" w:cs="Arial" w:eastAsia="Arial" w:hAnsi="Arial"/>
          <w:sz w:val="22"/>
          <w:szCs w:val="22"/>
        </w:rPr>
        <w:t xml:space="preserve">La cuantización reduce la precisión numérica con la que se representan los pesos y activaciones de la red. En vez de usar números de punto flotante de 32 bits (float32), se usan enteros de 8 bits (int8).</w:t>
      </w:r>
    </w:p>
    <w:p>
      <w:pPr>
        <w:spacing w:after="140" w:before="140"/>
      </w:pPr>
      <w:r>
        <w:t xml:space="preserve"/>
      </w:r>
    </w:p>
    <w:p>
      <w:pPr>
        <w:pStyle w:val="Heading2"/>
        <w:spacing w:after="140" w:before="280"/>
      </w:pPr>
      <w:r>
        <w:rPr>
          <w:rFonts w:ascii="Arial" w:cs="Arial" w:eastAsia="Arial" w:hAnsi="Arial"/>
          <w:b/>
          <w:bCs/>
          <w:color w:val="2E75B6"/>
          <w:sz w:val="26"/>
          <w:szCs w:val="26"/>
        </w:rPr>
        <w:t xml:space="preserve">2.1 Por qué funciona</w:t>
      </w:r>
    </w:p>
    <w:p>
      <w:pPr>
        <w:spacing w:after="80" w:before="80"/>
      </w:pPr>
      <w:r>
        <w:rPr>
          <w:rFonts w:ascii="Arial" w:cs="Arial" w:eastAsia="Arial" w:hAnsi="Arial"/>
          <w:sz w:val="22"/>
          <w:szCs w:val="22"/>
        </w:rPr>
        <w:t xml:space="preserve">Los pesos de una red neuronal entrenada raramente necesitan toda la precisión de un float32. Después del entrenamiento, los pesos se distribuyen en un rango acotado (típicamente -3.0 a +3.0). Ese rango se puede representar con solo 256 valores enteros (int8: de -128 a 127) con pérdida de información mínima.</w:t>
      </w:r>
    </w:p>
    <w:p>
      <w:pPr>
        <w:spacing w:after="140" w:before="140"/>
      </w:pPr>
      <w:r>
        <w:t xml:space="preserve"/>
      </w:r>
    </w:p>
    <w:p>
      <w:pPr>
        <w:shd w:fill="F2F2F2" w:val="clear"/>
        <w:spacing w:after="120" w:before="120"/>
        <w:jc w:val="center"/>
      </w:pPr>
      <w:r>
        <w:rPr>
          <w:rFonts w:ascii="Courier New" w:cs="Courier New" w:eastAsia="Courier New" w:hAnsi="Courier New"/>
          <w:b/>
          <w:bCs/>
          <w:sz w:val="22"/>
          <w:szCs w:val="22"/>
        </w:rPr>
        <w:t xml:space="preserve">float32: [-3.141592653] → 4 bytes, precisión de 7 decimales</w:t>
      </w:r>
    </w:p>
    <w:p>
      <w:pPr>
        <w:shd w:fill="F2F2F2" w:val="clear"/>
        <w:spacing w:after="120" w:before="120"/>
        <w:jc w:val="center"/>
      </w:pPr>
      <w:r>
        <w:rPr>
          <w:rFonts w:ascii="Courier New" w:cs="Courier New" w:eastAsia="Courier New" w:hAnsi="Courier New"/>
          <w:b/>
          <w:bCs/>
          <w:sz w:val="22"/>
          <w:szCs w:val="22"/>
        </w:rPr>
        <w:t xml:space="preserve">int8:    [-3.1          ] → 1 byte, precisión de 1 decimal</w:t>
      </w:r>
    </w:p>
    <w:p>
      <w:pPr>
        <w:spacing w:after="140" w:before="140"/>
      </w:pPr>
      <w:r>
        <w:t xml:space="preserve"/>
      </w:r>
    </w:p>
    <w:p>
      <w:pPr>
        <w:spacing w:after="80" w:before="80"/>
      </w:pPr>
      <w:r>
        <w:rPr>
          <w:rFonts w:ascii="Arial" w:cs="Arial" w:eastAsia="Arial" w:hAnsi="Arial"/>
          <w:sz w:val="22"/>
          <w:szCs w:val="22"/>
        </w:rPr>
        <w:t xml:space="preserve">El mapa entre el espacio float32 y el espacio int8 se define con dos parámetros aprendidos durante la calibración:</w:t>
      </w:r>
    </w:p>
    <w:p>
      <w:pPr>
        <w:spacing w:after="140" w:before="140"/>
      </w:pPr>
      <w:r>
        <w:t xml:space="preserve"/>
      </w:r>
    </w:p>
    <w:p>
      <w:pPr>
        <w:shd w:fill="F2F2F2" w:val="clear"/>
        <w:spacing w:after="120" w:before="120"/>
        <w:jc w:val="center"/>
      </w:pPr>
      <w:r>
        <w:rPr>
          <w:rFonts w:ascii="Courier New" w:cs="Courier New" w:eastAsia="Courier New" w:hAnsi="Courier New"/>
          <w:b/>
          <w:bCs/>
          <w:sz w:val="22"/>
          <w:szCs w:val="22"/>
        </w:rPr>
        <w:t xml:space="preserve">int8_value  =  round(float32_value / scale)  +  zero_point</w:t>
      </w:r>
    </w:p>
    <w:p>
      <w:pPr>
        <w:shd w:fill="F2F2F2" w:val="clear"/>
        <w:spacing w:after="120" w:before="120"/>
        <w:jc w:val="center"/>
      </w:pPr>
      <w:r>
        <w:rPr>
          <w:rFonts w:ascii="Courier New" w:cs="Courier New" w:eastAsia="Courier New" w:hAnsi="Courier New"/>
          <w:b/>
          <w:bCs/>
          <w:sz w:val="22"/>
          <w:szCs w:val="22"/>
        </w:rPr>
        <w:t xml:space="preserve">float32_approx  =  (int8_value - zero_point)  ×  scale</w:t>
      </w:r>
    </w:p>
    <w:p>
      <w:pPr>
        <w:spacing w:after="140" w:before="140"/>
      </w:pPr>
      <w:r>
        <w:t xml:space="preserve"/>
      </w:r>
    </w:p>
    <w:p>
      <w:pPr>
        <w:pStyle w:val="Heading2"/>
        <w:spacing w:after="140" w:before="280"/>
      </w:pPr>
      <w:r>
        <w:rPr>
          <w:rFonts w:ascii="Arial" w:cs="Arial" w:eastAsia="Arial" w:hAnsi="Arial"/>
          <w:b/>
          <w:bCs/>
          <w:color w:val="2E75B6"/>
          <w:sz w:val="26"/>
          <w:szCs w:val="26"/>
        </w:rPr>
        <w:t xml:space="preserve">2.2 Qué se gana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2826"/>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Beneficio</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Por qué ocurre</w:t>
            </w:r>
          </w:p>
        </w:tc>
        <w:tc>
          <w:tcPr>
            <w:tcW w:type="dxa" w:w="28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Valor típico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Reducción de tamaño</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bytes por peso → 1 byte por peso</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reducción de tamaño</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Reducción de ancho de banda</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Menos datos que mover entre memoria y núcleos de cómputo</w:t>
            </w:r>
          </w:p>
        </w:tc>
        <w:tc>
          <w:tcPr>
            <w:tcW w:type="dxa" w:w="2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×2-4 según la operación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Aceleración en ARM</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qnnpack está optimizado para multiplicaciones INT8 en ARM</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×1.5-3 en latencia</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Reducción de energía</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Operaciones enteras consumen menos que operaciones en coma flotante</w:t>
            </w:r>
          </w:p>
        </w:tc>
        <w:tc>
          <w:tcPr>
            <w:tcW w:type="dxa" w:w="2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~20-30% menos energía</w:t>
            </w:r>
          </w:p>
        </w:tc>
      </w:tr>
    </w:tbl>
    <w:p>
      <w:pPr>
        <w:spacing w:after="140" w:before="140"/>
      </w:pPr>
      <w:r>
        <w:t xml:space="preserve"/>
      </w:r>
    </w:p>
    <w:p>
      <w:pPr>
        <w:pStyle w:val="Heading2"/>
        <w:spacing w:after="140" w:before="280"/>
      </w:pPr>
      <w:r>
        <w:rPr>
          <w:rFonts w:ascii="Arial" w:cs="Arial" w:eastAsia="Arial" w:hAnsi="Arial"/>
          <w:b/>
          <w:bCs/>
          <w:color w:val="2E75B6"/>
          <w:sz w:val="26"/>
          <w:szCs w:val="26"/>
        </w:rPr>
        <w:t xml:space="preserve">2.3 PTQ — Post-Training Quantization</w:t>
      </w:r>
    </w:p>
    <w:p>
      <w:pPr>
        <w:spacing w:after="80" w:before="80"/>
      </w:pPr>
      <w:r>
        <w:rPr>
          <w:rFonts w:ascii="Arial" w:cs="Arial" w:eastAsia="Arial" w:hAnsi="Arial"/>
          <w:sz w:val="22"/>
          <w:szCs w:val="22"/>
        </w:rPr>
        <w:t xml:space="preserve">Cuantización después del entrenamiento. El modelo ya está entrenado en float32; se convierte a int8 sin reentrenar.</w:t>
      </w:r>
    </w:p>
    <w:p>
      <w:pPr>
        <w:spacing w:after="140" w:before="140"/>
      </w:pPr>
      <w:r>
        <w:t xml:space="preserve"/>
      </w:r>
    </w:p>
    <w:p>
      <w:pPr>
        <w:pStyle w:val="Heading3"/>
        <w:spacing w:after="100" w:before="220"/>
      </w:pPr>
      <w:r>
        <w:rPr>
          <w:rFonts w:ascii="Arial" w:cs="Arial" w:eastAsia="Arial" w:hAnsi="Arial"/>
          <w:b/>
          <w:bCs/>
          <w:color w:val="404040"/>
          <w:sz w:val="24"/>
          <w:szCs w:val="24"/>
        </w:rPr>
        <w:t xml:space="preserve">El proceso de tres pasos</w:t>
      </w:r>
    </w:p>
    <w:p>
      <w:pPr>
        <w:spacing w:after="80" w:before="80"/>
      </w:pPr>
      <w:r>
        <w:rPr>
          <w:rFonts w:ascii="Arial" w:cs="Arial" w:eastAsia="Arial" w:hAnsi="Arial"/>
          <w:sz w:val="22"/>
          <w:szCs w:val="22"/>
        </w:rPr>
        <w:t xml:space="preserve">Paso 1 — prepare_fx: PyTorch inserta observers (observadores) en cada capa. Son módulos que registran los valores mínimos y máximos que pasan por ellos.</w:t>
      </w:r>
    </w:p>
    <w:p>
      <w:pPr>
        <w:spacing w:after="140" w:before="140"/>
      </w:pPr>
      <w:r>
        <w:t xml:space="preserve"/>
      </w:r>
    </w:p>
    <w:p>
      <w:pPr>
        <w:spacing w:after="80" w:before="80"/>
      </w:pPr>
      <w:r>
        <w:rPr>
          <w:rFonts w:ascii="Arial" w:cs="Arial" w:eastAsia="Arial" w:hAnsi="Arial"/>
          <w:sz w:val="22"/>
          <w:szCs w:val="22"/>
        </w:rPr>
        <w:t xml:space="preserve">Paso 2 — Calibración: se pasan datos reales por el modelo preparado (sin actualizar pesos, solo para que los observers recopilen estadísticas). Cuántas muestras: 100-500 es suficiente. Más no mejora significativamente.</w:t>
      </w:r>
    </w:p>
    <w:p>
      <w:pPr>
        <w:spacing w:after="140" w:before="140"/>
      </w:pPr>
      <w:r>
        <w:t xml:space="preserve"/>
      </w:r>
    </w:p>
    <w:p>
      <w:pPr>
        <w:spacing w:after="80" w:before="80"/>
      </w:pPr>
      <w:r>
        <w:rPr>
          <w:rFonts w:ascii="Arial" w:cs="Arial" w:eastAsia="Arial" w:hAnsi="Arial"/>
          <w:sz w:val="22"/>
          <w:szCs w:val="22"/>
        </w:rPr>
        <w:t xml:space="preserve">Paso 3 — convert_fx: PyTorch usa las estadísticas de los observers para calcular scale y zero_point por capa, y sustituye cada Linear(float32) por su equivalente QuantizedLinear(int8).</w:t>
      </w:r>
    </w:p>
    <w:p>
      <w:pPr>
        <w:spacing w:after="140" w:before="140"/>
      </w:pPr>
      <w:r>
        <w:t xml:space="preserve"/>
      </w:r>
    </w:p>
    <w:p>
      <w:pPr>
        <w:shd w:fill="F2F2F2" w:val="clear"/>
        <w:spacing w:after="120" w:before="120"/>
        <w:jc w:val="center"/>
      </w:pPr>
      <w:r>
        <w:rPr>
          <w:rFonts w:ascii="Courier New" w:cs="Courier New" w:eastAsia="Courier New" w:hAnsi="Courier New"/>
          <w:b/>
          <w:bCs/>
          <w:sz w:val="22"/>
          <w:szCs w:val="22"/>
        </w:rPr>
        <w:t xml:space="preserve">prepare_fx → [calibrar con 500 muestras] → convert_fx → modelo INT8</w:t>
      </w:r>
    </w:p>
    <w:p>
      <w:pPr>
        <w:spacing w:after="140" w:before="1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6E5" w:val="clear"/>
            <w:tcMar>
              <w:top w:type="dxa" w:w="120"/>
              <w:left w:type="dxa" w:w="160"/>
              <w:bottom w:type="dxa" w:w="120"/>
              <w:right w:type="dxa" w:w="160"/>
            </w:tcMar>
          </w:tcPr>
          <w:p>
            <w:r>
              <w:rPr>
                <w:rFonts w:ascii="Arial" w:cs="Arial" w:eastAsia="Arial" w:hAnsi="Arial"/>
                <w:b/>
                <w:bCs/>
                <w:color w:val="8A5A00"/>
                <w:sz w:val="20"/>
                <w:szCs w:val="20"/>
              </w:rPr>
              <w:t xml:space="preserve">Por qué PTQ corre en CPU en tu script</w:t>
            </w:r>
          </w:p>
          <w:p>
            <w:pPr>
              <w:spacing w:before="60"/>
            </w:pPr>
            <w:r>
              <w:rPr>
                <w:rFonts w:ascii="Arial" w:cs="Arial" w:eastAsia="Arial" w:hAnsi="Arial"/>
                <w:sz w:val="20"/>
                <w:szCs w:val="20"/>
              </w:rPr>
              <w:t xml:space="preserve">La cuantización estática de PyTorch con backend qnnpack está implementada para CPU ARM. La Jetson puede ejecutar modelos INT8 en CPU con qnnpack y obtener aceleración real. Intentar ejecutar modelos cuantizados con qnnpack en GPU (CUDA) produce errores porque CUDA no soporta ese formato directamente. Para cuantización en GPU existe TensorRT (NVIDIA), que es un paso posterior opcional en el TFG.</w:t>
            </w:r>
          </w:p>
        </w:tc>
      </w:tr>
    </w:tbl>
    <w:p>
      <w:pPr>
        <w:spacing w:after="140" w:before="140"/>
      </w:pPr>
      <w:r>
        <w:t xml:space="preserve"/>
      </w:r>
    </w:p>
    <w:p>
      <w:pPr>
        <w:pStyle w:val="Heading2"/>
        <w:spacing w:after="140" w:before="280"/>
      </w:pPr>
      <w:r>
        <w:rPr>
          <w:rFonts w:ascii="Arial" w:cs="Arial" w:eastAsia="Arial" w:hAnsi="Arial"/>
          <w:b/>
          <w:bCs/>
          <w:color w:val="2E75B6"/>
          <w:sz w:val="26"/>
          <w:szCs w:val="26"/>
        </w:rPr>
        <w:t xml:space="preserve">2.4 QAT — Quantization-Aware Training</w:t>
      </w:r>
    </w:p>
    <w:p>
      <w:pPr>
        <w:spacing w:after="80" w:before="80"/>
      </w:pPr>
      <w:r>
        <w:rPr>
          <w:rFonts w:ascii="Arial" w:cs="Arial" w:eastAsia="Arial" w:hAnsi="Arial"/>
          <w:sz w:val="22"/>
          <w:szCs w:val="22"/>
        </w:rPr>
        <w:t xml:space="preserve">Cuantización durante el entrenamiento. El modelo se entrena con pesos en float32 (necesario para calcular gradientes), pero simulando el error de redondeo a int8 en cada paso.</w:t>
      </w:r>
    </w:p>
    <w:p>
      <w:pPr>
        <w:spacing w:after="140" w:before="140"/>
      </w:pPr>
      <w:r>
        <w:t xml:space="preserve"/>
      </w:r>
    </w:p>
    <w:p>
      <w:pPr>
        <w:shd w:fill="F2F2F2" w:val="clear"/>
        <w:spacing w:after="120" w:before="120"/>
        <w:jc w:val="center"/>
      </w:pPr>
      <w:r>
        <w:rPr>
          <w:rFonts w:ascii="Courier New" w:cs="Courier New" w:eastAsia="Courier New" w:hAnsi="Courier New"/>
          <w:b/>
          <w:bCs/>
          <w:sz w:val="22"/>
          <w:szCs w:val="22"/>
        </w:rPr>
        <w:t xml:space="preserve">Pesos: float32 → [simular redondeo INT8] → forward pass → loss → backward → update float32</w:t>
      </w:r>
    </w:p>
    <w:p>
      <w:pPr>
        <w:spacing w:after="140" w:before="140"/>
      </w:pPr>
      <w:r>
        <w:t xml:space="preserve"/>
      </w:r>
    </w:p>
    <w:p>
      <w:pPr>
        <w:spacing w:after="80" w:before="80"/>
      </w:pPr>
      <w:r>
        <w:rPr>
          <w:rFonts w:ascii="Arial" w:cs="Arial" w:eastAsia="Arial" w:hAnsi="Arial"/>
          <w:sz w:val="22"/>
          <w:szCs w:val="22"/>
        </w:rPr>
        <w:t xml:space="preserve">La red aprende a ser robusta al redondeo: ajusta sus pesos para que la pérdida de precisión afecte lo menos posible a la accuracy. El resultado es un modelo que, una vez convertido a int8, pierde mucho menos accuracy que con PTQ.</w:t>
      </w:r>
    </w:p>
    <w:p>
      <w:pPr>
        <w:spacing w:after="140" w:before="1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400"/>
        <w:gridCol w:w="2426"/>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Método</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Cuándo usar</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Coste</w:t>
            </w:r>
          </w:p>
        </w:tc>
        <w:tc>
          <w:tcPr>
            <w:tcW w:type="dxa" w:w="24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Pérdida de accuracy típica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PTQ</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Primera opción. Modelo ya entrenado.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Minutos de calibración</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&lt;2% si el modelo es robusto</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QAT</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Si PTQ pierde &gt;2% de accuracy.</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Reentrenar el modelo completo</w:t>
            </w:r>
          </w:p>
        </w:tc>
        <w:tc>
          <w:tcPr>
            <w:tcW w:type="dxa" w:w="2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&lt;0.5% (pero requiere más trabajo)</w:t>
            </w:r>
          </w:p>
        </w:tc>
      </w:tr>
    </w:tbl>
    <w:p>
      <w:pPr>
        <w:spacing w:after="140" w:before="140"/>
      </w:pPr>
      <w:r>
        <w:t xml:space="preserve"/>
      </w:r>
    </w:p>
    <w:p>
      <w:pPr>
        <w:pStyle w:val="Heading2"/>
        <w:spacing w:after="140" w:before="280"/>
      </w:pPr>
      <w:r>
        <w:rPr>
          <w:rFonts w:ascii="Arial" w:cs="Arial" w:eastAsia="Arial" w:hAnsi="Arial"/>
          <w:b/>
          <w:bCs/>
          <w:color w:val="2E75B6"/>
          <w:sz w:val="26"/>
          <w:szCs w:val="26"/>
        </w:rPr>
        <w:t xml:space="preserve">2.5 El backend qnnpack — específico de la Jetson</w:t>
      </w:r>
    </w:p>
    <w:p>
      <w:pPr>
        <w:spacing w:after="80" w:before="80"/>
      </w:pPr>
      <w:r>
        <w:rPr>
          <w:rFonts w:ascii="Arial" w:cs="Arial" w:eastAsia="Arial" w:hAnsi="Arial"/>
          <w:sz w:val="22"/>
          <w:szCs w:val="22"/>
        </w:rPr>
        <w:t xml:space="preserve">PyTorch soporta varios backends de cuantización según la arquitectura del procesador. Elegir el incorrecto produce errores o resultados incorrectos:</w:t>
      </w:r>
    </w:p>
    <w:p>
      <w:pPr>
        <w:spacing w:after="140" w:before="1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426"/>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Backend</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Arquitectura</w:t>
            </w:r>
          </w:p>
        </w:tc>
        <w:tc>
          <w:tcPr>
            <w:tcW w:type="dxa" w:w="44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Plataformas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qnnpack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ARM (32 y 64 bits)</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Jetson, Raspberry Pi, smartphones Android/iOS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fbgemm</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x86 con AVX2</w:t>
            </w:r>
          </w:p>
        </w:tc>
        <w:tc>
          <w:tcPr>
            <w:tcW w:type="dxa" w:w="4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Servidores Intel/AMD, PCs de sobremesa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onednn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x86 con VNNI</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Intel de última generación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x86</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x86 genérico</w:t>
            </w:r>
          </w:p>
        </w:tc>
        <w:tc>
          <w:tcPr>
            <w:tcW w:type="dxa" w:w="4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Fallback para x86 sin AVX2</w:t>
            </w:r>
          </w:p>
        </w:tc>
      </w:tr>
    </w:tbl>
    <w:p>
      <w:pPr>
        <w:spacing w:after="140" w:before="140"/>
      </w:pPr>
      <w:r>
        <w:t xml:space="preserve"/>
      </w:r>
    </w:p>
    <w:p>
      <w:pPr>
        <w:spacing w:after="80" w:before="80"/>
      </w:pPr>
      <w:r>
        <w:rPr>
          <w:rFonts w:ascii="Arial" w:cs="Arial" w:eastAsia="Arial" w:hAnsi="Arial"/>
          <w:sz w:val="22"/>
          <w:szCs w:val="22"/>
        </w:rPr>
        <w:t xml:space="preserve">Tu script cuantizacion_ptq.py detecta automáticamente que está en ARM (aarch64) y selecciona qnnpack. Esto está tomado directamente del código de Unai Rodríguez, que resolvió el mismo problema.</w:t>
      </w:r>
    </w:p>
    <w:p>
      <w:pPr>
        <w:spacing w:after="140" w:before="140"/>
      </w:pPr>
      <w:r>
        <w:t xml:space="preserve"/>
      </w:r>
    </w:p>
    <w:p>
      <w:r>
        <w:br/>
      </w:r>
    </w:p>
    <w:p>
      <w:pPr>
        <w:pStyle w:val="Heading1"/>
        <w:spacing w:after="180" w:before="360"/>
      </w:pPr>
      <w:r>
        <w:rPr>
          <w:rFonts w:ascii="Arial" w:cs="Arial" w:eastAsia="Arial" w:hAnsi="Arial"/>
          <w:b/>
          <w:bCs/>
          <w:color w:val="1F4E79"/>
          <w:sz w:val="32"/>
          <w:szCs w:val="32"/>
        </w:rPr>
        <w:t xml:space="preserve">3. Knowledge Distillation</w:t>
      </w:r>
    </w:p>
    <w:p>
      <w:pPr>
        <w:spacing w:after="80" w:before="80"/>
      </w:pPr>
      <w:r>
        <w:rPr>
          <w:rFonts w:ascii="Arial" w:cs="Arial" w:eastAsia="Arial" w:hAnsi="Arial"/>
          <w:sz w:val="22"/>
          <w:szCs w:val="22"/>
        </w:rPr>
        <w:t xml:space="preserve">Knowledge Distillation (KD) es una técnica propuesta por Geoffrey Hinton, Oriol Vinyals y Jeff Dean en 2015 (paper: 'Distilling the Knowledge in a Neural Network'). La idea es transferir el conocimiento de un modelo grande y preciso (teacher) a un modelo pequeño y eficiente (student).</w:t>
      </w:r>
    </w:p>
    <w:p>
      <w:pPr>
        <w:spacing w:after="140" w:before="140"/>
      </w:pPr>
      <w:r>
        <w:t xml:space="preserve"/>
      </w:r>
    </w:p>
    <w:p>
      <w:pPr>
        <w:pStyle w:val="Heading2"/>
        <w:spacing w:after="140" w:before="280"/>
      </w:pPr>
      <w:r>
        <w:rPr>
          <w:rFonts w:ascii="Arial" w:cs="Arial" w:eastAsia="Arial" w:hAnsi="Arial"/>
          <w:b/>
          <w:bCs/>
          <w:color w:val="2E75B6"/>
          <w:sz w:val="26"/>
          <w:szCs w:val="26"/>
        </w:rPr>
        <w:t xml:space="preserve">3.1 La intuición detrás de KD</w:t>
      </w:r>
    </w:p>
    <w:p>
      <w:pPr>
        <w:spacing w:after="80" w:before="80"/>
      </w:pPr>
      <w:r>
        <w:rPr>
          <w:rFonts w:ascii="Arial" w:cs="Arial" w:eastAsia="Arial" w:hAnsi="Arial"/>
          <w:sz w:val="22"/>
          <w:szCs w:val="22"/>
        </w:rPr>
        <w:t xml:space="preserve">Cuando un modelo está bien entrenado, sus predicciones contienen más información que la simple etiqueta correcta. Por ejemplo, para una señal de clase 3, el teacher podría predecir:</w:t>
      </w:r>
    </w:p>
    <w:p>
      <w:pPr>
        <w:spacing w:after="140" w:before="140"/>
      </w:pPr>
      <w:r>
        <w:t xml:space="preserve"/>
      </w:r>
    </w:p>
    <w:p>
      <w:pPr>
        <w:shd w:fill="F2F2F2" w:val="clear"/>
        <w:spacing w:after="120" w:before="120"/>
        <w:jc w:val="center"/>
      </w:pPr>
      <w:r>
        <w:rPr>
          <w:rFonts w:ascii="Courier New" w:cs="Courier New" w:eastAsia="Courier New" w:hAnsi="Courier New"/>
          <w:b/>
          <w:bCs/>
          <w:sz w:val="22"/>
          <w:szCs w:val="22"/>
        </w:rPr>
        <w:t xml:space="preserve">Clase 0: 0.01  Clase 1: 0.08  Clase 2: 0.04  Clase 3: 0.81  Clase 4: 0.03  ...</w:t>
      </w:r>
    </w:p>
    <w:p>
      <w:pPr>
        <w:spacing w:after="140" w:before="140"/>
      </w:pPr>
      <w:r>
        <w:t xml:space="preserve"/>
      </w:r>
    </w:p>
    <w:p>
      <w:pPr>
        <w:spacing w:after="80" w:before="80"/>
      </w:pPr>
      <w:r>
        <w:rPr>
          <w:rFonts w:ascii="Arial" w:cs="Arial" w:eastAsia="Arial" w:hAnsi="Arial"/>
          <w:sz w:val="22"/>
          <w:szCs w:val="22"/>
        </w:rPr>
        <w:t xml:space="preserve">La etiqueta hard dice solo 'es clase 3'. Pero la distribución soft del teacher dice además 'se parece un poco a clase 1, menos a clase 2'. Esa información sobre relaciones entre clases es conocimiento que el teacher aprendió y que el student puede aprovechar.</w:t>
      </w:r>
    </w:p>
    <w:p>
      <w:pPr>
        <w:spacing w:after="140" w:before="140"/>
      </w:pPr>
      <w:r>
        <w:t xml:space="preserve"/>
      </w:r>
    </w:p>
    <w:p>
      <w:pPr>
        <w:spacing w:after="80" w:before="80"/>
      </w:pPr>
      <w:r>
        <w:rPr>
          <w:rFonts w:ascii="Arial" w:cs="Arial" w:eastAsia="Arial" w:hAnsi="Arial"/>
          <w:sz w:val="22"/>
          <w:szCs w:val="22"/>
        </w:rPr>
        <w:t xml:space="preserve">Si entrenas el student solo con la etiqueta hard (0,0,0,1,0...), pierde toda esa información estructural. Si lo entrenas imitando la distribución del teacher, aprende más con los mismos datos.</w:t>
      </w:r>
    </w:p>
    <w:p>
      <w:pPr>
        <w:spacing w:after="140" w:before="140"/>
      </w:pPr>
      <w:r>
        <w:t xml:space="preserve"/>
      </w:r>
    </w:p>
    <w:p>
      <w:pPr>
        <w:pStyle w:val="Heading2"/>
        <w:spacing w:after="140" w:before="280"/>
      </w:pPr>
      <w:r>
        <w:rPr>
          <w:rFonts w:ascii="Arial" w:cs="Arial" w:eastAsia="Arial" w:hAnsi="Arial"/>
          <w:b/>
          <w:bCs/>
          <w:color w:val="2E75B6"/>
          <w:sz w:val="26"/>
          <w:szCs w:val="26"/>
        </w:rPr>
        <w:t xml:space="preserve">3.2 La temperatura T</w:t>
      </w:r>
    </w:p>
    <w:p>
      <w:pPr>
        <w:spacing w:after="80" w:before="80"/>
      </w:pPr>
      <w:r>
        <w:rPr>
          <w:rFonts w:ascii="Arial" w:cs="Arial" w:eastAsia="Arial" w:hAnsi="Arial"/>
          <w:sz w:val="22"/>
          <w:szCs w:val="22"/>
        </w:rPr>
        <w:t xml:space="preserve">El problema de las distribuciones del teacher es que suelen ser muy 'confiadas': 0.99 para la clase correcta y 0.001 para el resto. Una distribución tan concentrada es casi tan informativa como la etiqueta hard.</w:t>
      </w:r>
    </w:p>
    <w:p>
      <w:pPr>
        <w:spacing w:after="140" w:before="140"/>
      </w:pPr>
      <w:r>
        <w:t xml:space="preserve"/>
      </w:r>
    </w:p>
    <w:p>
      <w:pPr>
        <w:spacing w:after="80" w:before="80"/>
      </w:pPr>
      <w:r>
        <w:rPr>
          <w:rFonts w:ascii="Arial" w:cs="Arial" w:eastAsia="Arial" w:hAnsi="Arial"/>
          <w:sz w:val="22"/>
          <w:szCs w:val="22"/>
        </w:rPr>
        <w:t xml:space="preserve">La temperatura T suaviza esa distribución antes de pasarla al student. Se divide cada logit por T antes de aplicar softmax:</w:t>
      </w:r>
    </w:p>
    <w:p>
      <w:pPr>
        <w:spacing w:after="140" w:before="140"/>
      </w:pPr>
      <w:r>
        <w:t xml:space="preserve"/>
      </w:r>
    </w:p>
    <w:p>
      <w:pPr>
        <w:shd w:fill="F2F2F2" w:val="clear"/>
        <w:spacing w:after="120" w:before="120"/>
        <w:jc w:val="center"/>
      </w:pPr>
      <w:r>
        <w:rPr>
          <w:rFonts w:ascii="Courier New" w:cs="Courier New" w:eastAsia="Courier New" w:hAnsi="Courier New"/>
          <w:b/>
          <w:bCs/>
          <w:sz w:val="22"/>
          <w:szCs w:val="22"/>
        </w:rPr>
        <w:t xml:space="preserve">soft_prob = softmax(logits / T)</w:t>
      </w:r>
    </w:p>
    <w:p>
      <w:pPr>
        <w:spacing w:after="140" w:before="1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226"/>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Temperatura T</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Efecto</w:t>
            </w:r>
          </w:p>
        </w:tc>
        <w:tc>
          <w:tcPr>
            <w:tcW w:type="dxa" w:w="32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Cuándo usar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 = 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 suavizado. Distribución original (muy concentrada).</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 KD o KD básica</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 = 2-4</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Suavizado moderado. Buen equilibrio entre información y señal.</w:t>
            </w:r>
          </w:p>
        </w:tc>
        <w:tc>
          <w:tcPr>
            <w:tcW w:type="dxa" w:w="3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Caso general. Tu experimento usó T=2 y T=4.</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 = 8-20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Suavizado fuerte. Máxima información sobre relaciones entre clases.</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Teacher muy confiado, problem difícil. Tu experimento usó T=8.</w:t>
            </w:r>
          </w:p>
        </w:tc>
      </w:tr>
    </w:tbl>
    <w:p>
      <w:pPr>
        <w:spacing w:after="140" w:before="140"/>
      </w:pPr>
      <w:r>
        <w:t xml:space="preserve"/>
      </w:r>
    </w:p>
    <w:p>
      <w:pPr>
        <w:pStyle w:val="Heading2"/>
        <w:spacing w:after="140" w:before="280"/>
      </w:pPr>
      <w:r>
        <w:rPr>
          <w:rFonts w:ascii="Arial" w:cs="Arial" w:eastAsia="Arial" w:hAnsi="Arial"/>
          <w:b/>
          <w:bCs/>
          <w:color w:val="2E75B6"/>
          <w:sz w:val="26"/>
          <w:szCs w:val="26"/>
        </w:rPr>
        <w:t xml:space="preserve">3.3 La loss combinada</w:t>
      </w:r>
    </w:p>
    <w:p>
      <w:pPr>
        <w:spacing w:after="80" w:before="80"/>
      </w:pPr>
      <w:r>
        <w:rPr>
          <w:rFonts w:ascii="Arial" w:cs="Arial" w:eastAsia="Arial" w:hAnsi="Arial"/>
          <w:sz w:val="22"/>
          <w:szCs w:val="22"/>
        </w:rPr>
        <w:t xml:space="preserve">El student minimiza una combinación de dos losses:</w:t>
      </w:r>
    </w:p>
    <w:p>
      <w:pPr>
        <w:spacing w:after="140" w:before="140"/>
      </w:pPr>
      <w:r>
        <w:t xml:space="preserve"/>
      </w:r>
    </w:p>
    <w:p>
      <w:pPr>
        <w:shd w:fill="F2F2F2" w:val="clear"/>
        <w:spacing w:after="120" w:before="120"/>
        <w:jc w:val="center"/>
      </w:pPr>
      <w:r>
        <w:rPr>
          <w:rFonts w:ascii="Courier New" w:cs="Courier New" w:eastAsia="Courier New" w:hAnsi="Courier New"/>
          <w:b/>
          <w:bCs/>
          <w:sz w:val="22"/>
          <w:szCs w:val="22"/>
        </w:rPr>
        <w:t xml:space="preserve">L_total = alpha × L_KD + (1 - alpha) × L_CE</w:t>
      </w:r>
    </w:p>
    <w:p>
      <w:pPr>
        <w:spacing w:after="140" w:before="140"/>
      </w:pPr>
      <w:r>
        <w:t xml:space="preserve"/>
      </w:r>
    </w:p>
    <w:p>
      <w:pPr>
        <w:spacing w:after="80" w:before="80"/>
      </w:pPr>
      <w:r>
        <w:rPr>
          <w:rFonts w:ascii="Arial" w:cs="Arial" w:eastAsia="Arial" w:hAnsi="Arial"/>
          <w:sz w:val="22"/>
          <w:szCs w:val="22"/>
        </w:rPr>
        <w:t xml:space="preserve">L_KD (Knowledge Distillation loss): KL Divergence entre las distribuciones suavizadas del student y del teacher. Mide cuánto se parece la distribución del student a la del teacher.</w:t>
      </w:r>
    </w:p>
    <w:p>
      <w:pPr>
        <w:spacing w:after="140" w:before="140"/>
      </w:pPr>
      <w:r>
        <w:t xml:space="preserve"/>
      </w:r>
    </w:p>
    <w:p>
      <w:pPr>
        <w:shd w:fill="F2F2F2" w:val="clear"/>
        <w:spacing w:after="120" w:before="120"/>
        <w:jc w:val="center"/>
      </w:pPr>
      <w:r>
        <w:rPr>
          <w:rFonts w:ascii="Courier New" w:cs="Courier New" w:eastAsia="Courier New" w:hAnsi="Courier New"/>
          <w:b/>
          <w:bCs/>
          <w:sz w:val="22"/>
          <w:szCs w:val="22"/>
        </w:rPr>
        <w:t xml:space="preserve">L_KD = KL_div( softmax(student/T), softmax(teacher/T) ) × T²</w:t>
      </w:r>
    </w:p>
    <w:p>
      <w:pPr>
        <w:spacing w:after="140" w:before="140"/>
      </w:pPr>
      <w:r>
        <w:t xml:space="preserve"/>
      </w:r>
    </w:p>
    <w:p>
      <w:pPr>
        <w:spacing w:after="80" w:before="80"/>
      </w:pPr>
      <w:r>
        <w:rPr>
          <w:rFonts w:ascii="Arial" w:cs="Arial" w:eastAsia="Arial" w:hAnsi="Arial"/>
          <w:sz w:val="22"/>
          <w:szCs w:val="22"/>
        </w:rPr>
        <w:t xml:space="preserve">El factor T² es necesario para compensar el hecho de que al dividir por T, los gradientes también se escalan por 1/T². Sin ese factor, la loss KD contribuiría T² veces menos que la CrossEntropy, desequilibrando el entrenamiento.</w:t>
      </w:r>
    </w:p>
    <w:p>
      <w:pPr>
        <w:spacing w:after="140" w:before="140"/>
      </w:pPr>
      <w:r>
        <w:t xml:space="preserve"/>
      </w:r>
    </w:p>
    <w:p>
      <w:pPr>
        <w:spacing w:after="80" w:before="80"/>
      </w:pPr>
      <w:r>
        <w:rPr>
          <w:rFonts w:ascii="Arial" w:cs="Arial" w:eastAsia="Arial" w:hAnsi="Arial"/>
          <w:sz w:val="22"/>
          <w:szCs w:val="22"/>
        </w:rPr>
        <w:t xml:space="preserve">L_CE (Cross-Entropy loss): error del student respecto a las etiquetas reales (sin temperatura). Garantiza que el student no pierde de vista el objetivo real de clasificación.</w:t>
      </w:r>
    </w:p>
    <w:p>
      <w:pPr>
        <w:spacing w:after="140" w:before="1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alpha</w:t>
            </w:r>
          </w:p>
        </w:tc>
        <w:tc>
          <w:tcPr>
            <w:tcW w:type="dxa" w:w="74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Efecto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w:t>
            </w:r>
          </w:p>
        </w:tc>
        <w:tc>
          <w:tcPr>
            <w:tcW w:type="dxa" w:w="7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 KD. Solo CrossEntropy. Igual que entrenar sin teacher.</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0.3</w:t>
            </w:r>
          </w:p>
        </w:tc>
        <w:tc>
          <w:tcPr>
            <w:tcW w:type="dxa" w:w="7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Predomina CrossEntropy. El teacher aporta señal suave complementaria.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w:t>
            </w:r>
          </w:p>
        </w:tc>
        <w:tc>
          <w:tcPr>
            <w:tcW w:type="dxa" w:w="7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Predomina KD. El student imita fuertemente al teacher.</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w:t>
            </w:r>
          </w:p>
        </w:tc>
        <w:tc>
          <w:tcPr>
            <w:tcW w:type="dxa" w:w="7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Solo KD. El student ignora las etiquetas reales. No recomendado.</w:t>
            </w:r>
          </w:p>
        </w:tc>
      </w:tr>
    </w:tbl>
    <w:p>
      <w:pPr>
        <w:spacing w:after="140" w:before="140"/>
      </w:pPr>
      <w:r>
        <w:t xml:space="preserve"/>
      </w:r>
    </w:p>
    <w:p>
      <w:pPr>
        <w:pStyle w:val="Heading2"/>
        <w:spacing w:after="140" w:before="280"/>
      </w:pPr>
      <w:r>
        <w:rPr>
          <w:rFonts w:ascii="Arial" w:cs="Arial" w:eastAsia="Arial" w:hAnsi="Arial"/>
          <w:b/>
          <w:bCs/>
          <w:color w:val="2E75B6"/>
          <w:sz w:val="26"/>
          <w:szCs w:val="26"/>
        </w:rPr>
        <w:t xml:space="preserve">3.4 Los tres tipos de KD</w:t>
      </w:r>
    </w:p>
    <w:p>
      <w:pPr>
        <w:pStyle w:val="Heading3"/>
        <w:spacing w:after="100" w:before="220"/>
      </w:pPr>
      <w:r>
        <w:rPr>
          <w:rFonts w:ascii="Arial" w:cs="Arial" w:eastAsia="Arial" w:hAnsi="Arial"/>
          <w:b/>
          <w:bCs/>
          <w:color w:val="404040"/>
          <w:sz w:val="24"/>
          <w:szCs w:val="24"/>
        </w:rPr>
        <w:t xml:space="preserve">Response-Based KD (el que implementaste)</w:t>
      </w:r>
    </w:p>
    <w:p>
      <w:pPr>
        <w:spacing w:after="80" w:before="80"/>
      </w:pPr>
      <w:r>
        <w:rPr>
          <w:rFonts w:ascii="Arial" w:cs="Arial" w:eastAsia="Arial" w:hAnsi="Arial"/>
          <w:sz w:val="22"/>
          <w:szCs w:val="22"/>
        </w:rPr>
        <w:t xml:space="preserve">Solo usa los logits finales del teacher — la capa de salida. Es el más simple y el más utilizado. Funciona bien cuando teacher y student tienen arquitecturas muy distintas (como tu ResNet→MLP) porque no requiere que las representaciones intermedias sean comparables.</w:t>
      </w:r>
    </w:p>
    <w:p>
      <w:pPr>
        <w:spacing w:after="140" w:before="140"/>
      </w:pPr>
      <w:r>
        <w:t xml:space="preserve"/>
      </w:r>
    </w:p>
    <w:p>
      <w:pPr>
        <w:pStyle w:val="Heading3"/>
        <w:spacing w:after="100" w:before="220"/>
      </w:pPr>
      <w:r>
        <w:rPr>
          <w:rFonts w:ascii="Arial" w:cs="Arial" w:eastAsia="Arial" w:hAnsi="Arial"/>
          <w:b/>
          <w:bCs/>
          <w:color w:val="404040"/>
          <w:sz w:val="24"/>
          <w:szCs w:val="24"/>
        </w:rPr>
        <w:t xml:space="preserve">Feature-Based KD</w:t>
      </w:r>
    </w:p>
    <w:p>
      <w:pPr>
        <w:spacing w:after="80" w:before="80"/>
      </w:pPr>
      <w:r>
        <w:rPr>
          <w:rFonts w:ascii="Arial" w:cs="Arial" w:eastAsia="Arial" w:hAnsi="Arial"/>
          <w:sz w:val="22"/>
          <w:szCs w:val="22"/>
        </w:rPr>
        <w:t xml:space="preserve">El student también imita las representaciones intermedias del teacher (los mapas de activación de capas ocultas). Requiere una capa de proyección (Linear Bottleneck) para alinear las dimensiones si las arquitecturas son distintas. Más potente que Response-Based pero más compleja de implementar.</w:t>
      </w:r>
    </w:p>
    <w:p>
      <w:pPr>
        <w:spacing w:after="140" w:before="140"/>
      </w:pPr>
      <w:r>
        <w:t xml:space="preserve"/>
      </w:r>
    </w:p>
    <w:p>
      <w:pPr>
        <w:pStyle w:val="Heading3"/>
        <w:spacing w:after="100" w:before="220"/>
      </w:pPr>
      <w:r>
        <w:rPr>
          <w:rFonts w:ascii="Arial" w:cs="Arial" w:eastAsia="Arial" w:hAnsi="Arial"/>
          <w:b/>
          <w:bCs/>
          <w:color w:val="404040"/>
          <w:sz w:val="24"/>
          <w:szCs w:val="24"/>
        </w:rPr>
        <w:t xml:space="preserve">Attention-Based KD</w:t>
      </w:r>
    </w:p>
    <w:p>
      <w:pPr>
        <w:spacing w:after="80" w:before="80"/>
      </w:pPr>
      <w:r>
        <w:rPr>
          <w:rFonts w:ascii="Arial" w:cs="Arial" w:eastAsia="Arial" w:hAnsi="Arial"/>
          <w:sz w:val="22"/>
          <w:szCs w:val="22"/>
        </w:rPr>
        <w:t xml:space="preserve">Transfiere los mapas de atención — qué regiones de la entrada activan más cada neurona. Tiene sentido para CNNs donde hay estructura espacial que imitar. Menos relevante para señales 1D con Global Average Pooling como el tuyo.</w:t>
      </w:r>
    </w:p>
    <w:p>
      <w:pPr>
        <w:spacing w:after="140" w:before="1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6E5" w:val="clear"/>
            <w:tcMar>
              <w:top w:type="dxa" w:w="120"/>
              <w:left w:type="dxa" w:w="160"/>
              <w:bottom w:type="dxa" w:w="120"/>
              <w:right w:type="dxa" w:w="160"/>
            </w:tcMar>
          </w:tcPr>
          <w:p>
            <w:r>
              <w:rPr>
                <w:rFonts w:ascii="Arial" w:cs="Arial" w:eastAsia="Arial" w:hAnsi="Arial"/>
                <w:b/>
                <w:bCs/>
                <w:color w:val="8A5A00"/>
                <w:sz w:val="20"/>
                <w:szCs w:val="20"/>
              </w:rPr>
              <w:t xml:space="preserve">Por qué usaste Response-Based y no Feature-Based</w:t>
            </w:r>
          </w:p>
          <w:p>
            <w:pPr>
              <w:spacing w:before="60"/>
            </w:pPr>
            <w:r>
              <w:rPr>
                <w:rFonts w:ascii="Arial" w:cs="Arial" w:eastAsia="Arial" w:hAnsi="Arial"/>
                <w:sz w:val="20"/>
                <w:szCs w:val="20"/>
              </w:rPr>
              <w:t xml:space="preserve">Tu teacher (ResNet-1D) y tu student (MLP) tienen arquitecturas fundamentalmente distintas: el ResNet produce tensores intermedios de forma [B, F, L] (convolucional) y el MLP produce tensores de forma [B, H] (fully-connected). No son directamente comparables. Response-Based evita ese problema usando solo los logits finales, que siempre tienen la misma forma [B, num_clases] independientemente de la arquitectura interior.</w:t>
            </w:r>
          </w:p>
        </w:tc>
      </w:tr>
    </w:tbl>
    <w:p>
      <w:pPr>
        <w:spacing w:after="140" w:before="140"/>
      </w:pPr>
      <w:r>
        <w:t xml:space="preserve"/>
      </w:r>
    </w:p>
    <w:p>
      <w:r>
        <w:br/>
      </w:r>
    </w:p>
    <w:p>
      <w:pPr>
        <w:pStyle w:val="Heading1"/>
        <w:spacing w:after="180" w:before="360"/>
      </w:pPr>
      <w:r>
        <w:rPr>
          <w:rFonts w:ascii="Arial" w:cs="Arial" w:eastAsia="Arial" w:hAnsi="Arial"/>
          <w:b/>
          <w:bCs/>
          <w:color w:val="1F4E79"/>
          <w:sz w:val="32"/>
          <w:szCs w:val="32"/>
        </w:rPr>
        <w:t xml:space="preserve">4. Comparativa de las tres técnicas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626"/>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Criterio</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Pruning</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Cuantización PTQ</w:t>
            </w:r>
          </w:p>
        </w:tc>
        <w:tc>
          <w:tcPr>
            <w:tcW w:type="dxa" w:w="26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Knowledge Distillation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Qué comprime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Parámetros (pesos a cero)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Precisión numérica (bits)</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Arquitectura (modelo más pequeño)</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Requiere reentrenamiento</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Fine-tuning breve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Solo calibración</w:t>
            </w:r>
          </w:p>
        </w:tc>
        <w:tc>
          <w:tcPr>
            <w:tcW w:type="dxa" w:w="26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Sí (entrenamiento completo del student)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Cuándo actúa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Sobre modelo entrenado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Sobre modelo entrenado</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Durante el entrenamiento del student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Reducción de tamaño</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Baja (sin poda estructurada)</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 (float32→int8)</w:t>
            </w:r>
          </w:p>
        </w:tc>
        <w:tc>
          <w:tcPr>
            <w:tcW w:type="dxa" w:w="26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Depende del student elegido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Impacto en latencia GPU</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Bajo (sparsity no explotada)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aplica (corre en CPU)</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Igual que modelo student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Impacto en latencia CPU</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Bajo</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×1.5-3 más rápido</w:t>
            </w:r>
          </w:p>
        </w:tc>
        <w:tc>
          <w:tcPr>
            <w:tcW w:type="dxa" w:w="26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Igual que modelo student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Riesgo de pérdida accuracy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Alto si ratio &gt;60%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Bajo (&lt;2% con PTQ)</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Bajo si el student tiene suficiente capacidad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Complejidad de implementación</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Baja</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Media</w:t>
            </w:r>
          </w:p>
        </w:tc>
        <w:tc>
          <w:tcPr>
            <w:tcW w:type="dxa" w:w="26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Media-alta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Cuándo combinar con otras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Después de KD y cuantización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Después de KD, antes de despliegue</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Primero — da el mejor student posible</w:t>
            </w:r>
          </w:p>
        </w:tc>
      </w:tr>
    </w:tbl>
    <w:p>
      <w:pPr>
        <w:spacing w:after="140" w:before="140"/>
      </w:pPr>
      <w:r>
        <w:t xml:space="preserve"/>
      </w:r>
    </w:p>
    <w:p>
      <w:r>
        <w:br/>
      </w:r>
    </w:p>
    <w:p>
      <w:pPr>
        <w:pStyle w:val="Heading1"/>
        <w:spacing w:after="180" w:before="360"/>
      </w:pPr>
      <w:r>
        <w:rPr>
          <w:rFonts w:ascii="Arial" w:cs="Arial" w:eastAsia="Arial" w:hAnsi="Arial"/>
          <w:b/>
          <w:bCs/>
          <w:color w:val="1F4E79"/>
          <w:sz w:val="32"/>
          <w:szCs w:val="32"/>
        </w:rPr>
        <w:t xml:space="preserve">5. El pipeline completo de optimización</w:t>
      </w:r>
    </w:p>
    <w:p>
      <w:pPr>
        <w:spacing w:after="80" w:before="80"/>
      </w:pPr>
      <w:r>
        <w:rPr>
          <w:rFonts w:ascii="Arial" w:cs="Arial" w:eastAsia="Arial" w:hAnsi="Arial"/>
          <w:sz w:val="22"/>
          <w:szCs w:val="22"/>
        </w:rPr>
        <w:t xml:space="preserve">El orden óptimo para aplicar las tres técnicas en tu TFG, y la razón de cada decisión:</w:t>
      </w:r>
    </w:p>
    <w:p>
      <w:pPr>
        <w:spacing w:after="140" w:before="140"/>
      </w:pPr>
      <w:r>
        <w:t xml:space="preserve"/>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400"/>
        <w:gridCol w:w="2200"/>
        <w:gridCol w:w="2826"/>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Paso</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Técnica</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28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Por qué en este orden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Entrenar teacher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Dataset armónico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resnet_teacher.pth</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teacher debe estar bien entrenado antes de usarlo como guía</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Entrenar student baseline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Dataset armónico</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mlp_student.pth</w:t>
            </w:r>
          </w:p>
        </w:tc>
        <w:tc>
          <w:tcPr>
            <w:tcW w:type="dxa" w:w="2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Necesitas el baseline para comparar el impacto de KD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Knowledge Distillation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Teacher + dataset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mlp_kd_T4_a0.7.pth</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Obtener el mejor student posible antes de comprimirlo</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Cuantización PTQ</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mlp_kd_T4_a0.7.pth</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mlp_int8_kd.pth</w:t>
            </w:r>
          </w:p>
        </w:tc>
        <w:tc>
          <w:tcPr>
            <w:tcW w:type="dxa" w:w="2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Comprimir el mejor student. Mínima pérdida de accuracy.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Pruning + fine-tune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mlp_kd_T4_a0.7.pth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mlp_pruned_50.pth</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Encontrar el límite de redundancia del modelo</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Benchmark final</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Todos los .pth</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Tabla comparativa</w:t>
            </w:r>
          </w:p>
        </w:tc>
        <w:tc>
          <w:tcPr>
            <w:tcW w:type="dxa" w:w="2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Comparar todas las variantes en las mismas condiciones</w:t>
            </w:r>
          </w:p>
        </w:tc>
      </w:tr>
    </w:tbl>
    <w:p>
      <w:pPr>
        <w:spacing w:after="140" w:before="140"/>
      </w:pPr>
      <w:r>
        <w:t xml:space="preserve"/>
      </w:r>
    </w:p>
    <w:p>
      <w:pPr>
        <w:pStyle w:val="Heading2"/>
        <w:spacing w:after="140" w:before="280"/>
      </w:pPr>
      <w:r>
        <w:rPr>
          <w:rFonts w:ascii="Arial" w:cs="Arial" w:eastAsia="Arial" w:hAnsi="Arial"/>
          <w:b/>
          <w:bCs/>
          <w:color w:val="2E75B6"/>
          <w:sz w:val="26"/>
          <w:szCs w:val="26"/>
        </w:rPr>
        <w:t xml:space="preserve">5.1 La tabla que producirá tu TFG</w:t>
      </w:r>
    </w:p>
    <w:p>
      <w:pPr>
        <w:spacing w:after="80" w:before="80"/>
      </w:pPr>
      <w:r>
        <w:rPr>
          <w:rFonts w:ascii="Arial" w:cs="Arial" w:eastAsia="Arial" w:hAnsi="Arial"/>
          <w:sz w:val="22"/>
          <w:szCs w:val="22"/>
        </w:rPr>
        <w:t xml:space="preserve">Al completar el pipeline, tendrás datos para responder la pregunta central: ¿cuánto puedes comprimir el modelo sin que deje de ser útil en la Jetson?</w:t>
      </w:r>
    </w:p>
    <w:p>
      <w:pPr>
        <w:spacing w:after="140" w:before="1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1400"/>
        <w:gridCol w:w="1200"/>
        <w:gridCol w:w="1426"/>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Modelo</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Técnica</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Accuracy</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Latencia</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Tamaño</w:t>
            </w:r>
          </w:p>
        </w:tc>
        <w:tc>
          <w:tcPr>
            <w:tcW w:type="dxa" w:w="14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Energía inf.</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ResNet-1D teacher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Baseline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3.6 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 MB</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W</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MLP baseline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Baseline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100%</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0.8 ms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64 MB</w:t>
            </w:r>
          </w:p>
        </w:tc>
        <w:tc>
          <w:tcPr>
            <w:tcW w:type="dxa" w:w="1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 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MLP + KD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 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64 MB</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W</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MLP + KD cuantizado</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KD + PTQ</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~99%?</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~0.4 ms?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~16 MB?</w:t>
            </w:r>
          </w:p>
        </w:tc>
        <w:tc>
          <w:tcPr>
            <w:tcW w:type="dxa" w:w="1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 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MLP podado 50%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Pruning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 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~64 MB*</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W?</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MLP podado + cuantizado</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Pruning + PTQ</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~98%?</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~0.4 ms?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~16 MB?</w:t>
            </w:r>
          </w:p>
        </w:tc>
        <w:tc>
          <w:tcPr>
            <w:tcW w:type="dxa" w:w="1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 W?</w:t>
            </w:r>
          </w:p>
        </w:tc>
      </w:tr>
    </w:tbl>
    <w:p>
      <w:pPr>
        <w:spacing w:after="80" w:before="80"/>
      </w:pPr>
      <w:r>
        <w:rPr>
          <w:rFonts w:ascii="Arial" w:cs="Arial" w:eastAsia="Arial" w:hAnsi="Arial"/>
          <w:sz w:val="22"/>
          <w:szCs w:val="22"/>
        </w:rPr>
        <w:t xml:space="preserve">* La poda no estructurada no reduce el tamaño en disco — reduce parámetros activos pero el archivo .pth mantiene el mismo tamaño porque los ceros también se guardan.</w:t>
      </w:r>
    </w:p>
    <w:p>
      <w:pPr>
        <w:spacing w:after="140" w:before="140"/>
      </w:pPr>
      <w:r>
        <w:t xml:space="preserve"/>
      </w:r>
    </w:p>
    <w:p>
      <w:r>
        <w:br/>
      </w:r>
    </w:p>
    <w:p>
      <w:pPr>
        <w:pStyle w:val="Heading1"/>
        <w:spacing w:after="180" w:before="360"/>
      </w:pPr>
      <w:r>
        <w:rPr>
          <w:rFonts w:ascii="Arial" w:cs="Arial" w:eastAsia="Arial" w:hAnsi="Arial"/>
          <w:b/>
          <w:bCs/>
          <w:color w:val="1F4E79"/>
          <w:sz w:val="32"/>
          <w:szCs w:val="32"/>
        </w:rPr>
        <w:t xml:space="preserve">6. Resumen — lo que debes saber de memoria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26"/>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Concepto</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Definición en una frase</w:t>
            </w:r>
          </w:p>
        </w:tc>
        <w:tc>
          <w:tcPr>
            <w:tcW w:type="dxa" w:w="3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Relevancia para tu TFG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Pruning (poda)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Eliminar pesos de poco valor para reducir el modelo</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Script pruning.py, ratios 30-90%</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L1 Unstructured</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Eliminar el X% de pesos con menor valor absoluto</w:t>
            </w:r>
          </w:p>
        </w:tc>
        <w:tc>
          <w:tcPr>
            <w:tcW w:type="dxa" w:w="3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El método que usa tu script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Fine-tuning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Reentrenamiento breve tras la poda para recuperar accuracy</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epochs a lr=1e-4 en tu script</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Cuantización</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Reducir precisión numérica de pesos y activaciones</w:t>
            </w:r>
          </w:p>
        </w:tc>
        <w:tc>
          <w:tcPr>
            <w:tcW w:type="dxa" w:w="3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float32 → int8, ×4 reducción de tamaño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PTQ</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Post-Training Quantization: cuantizar modelo ya entrenado</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 script cuantizacion_ptq.py</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QAT</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Quantization-Aware Training: entrenar simulando cuantización</w:t>
            </w:r>
          </w:p>
        </w:tc>
        <w:tc>
          <w:tcPr>
            <w:tcW w:type="dxa" w:w="3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Plan B si PTQ pierde &gt;2% accuracy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scale / zero_point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Parámetros que mapean float32 a int8 por capa</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Los aprende durante la calibración</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qnnpack</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Backend de cuantización para ARM (Jetson)</w:t>
            </w:r>
          </w:p>
        </w:tc>
        <w:tc>
          <w:tcPr>
            <w:tcW w:type="dxa" w:w="3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El que detecta automáticamente tu script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KD Response-Based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Student imita logits finales del teacher</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 que implementaste en kd_clasificacion.py</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Temperatura T</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Suaviza las distribuciones del teacher para transferir más información</w:t>
            </w:r>
          </w:p>
        </w:tc>
        <w:tc>
          <w:tcPr>
            <w:tcW w:type="dxa" w:w="3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Valores 2, 4, 8 probados en tu TFG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alpha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Peso del término KD frente a CrossEntropy en la loss total</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Valores 0.3, 0.7, 0.9 probados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Soft labels</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Distribución de probabilidades del teacher sobre todas las clases</w:t>
            </w:r>
          </w:p>
        </w:tc>
        <w:tc>
          <w:tcPr>
            <w:tcW w:type="dxa" w:w="3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Contienen información sobre relaciones entre clases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 labels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Etiquetas del dataset: solo 1 para la clase correcta, 0 para el resto</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CrossEntropy clásica</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Lottery Ticket Hypothesis</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Dentro de toda red grande hay una subred pequeña igual de buena</w:t>
            </w:r>
          </w:p>
        </w:tc>
        <w:tc>
          <w:tcPr>
            <w:tcW w:type="dxa" w:w="3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Justificación teórica del pruning</w:t>
            </w:r>
          </w:p>
        </w:tc>
      </w:tr>
    </w:tbl>
    <w:sectPr>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2"/>
      <w:szCs w:val="32"/>
    </w:rPr>
  </w:style>
  <w:style w:type="paragraph" w:styleId="Heading2">
    <w:name w:val="Heading 2"/>
    <w:basedOn w:val="Normal"/>
    <w:next w:val="Normal"/>
    <w:qFormat/>
    <w:pPr>
      <w:spacing w:after="140" w:before="280"/>
      <w:outlineLvl w:val="1"/>
    </w:pPr>
    <w:rPr>
      <w:rFonts w:ascii="Arial" w:cs="Arial" w:eastAsia="Arial" w:hAnsi="Arial"/>
      <w:b/>
      <w:bCs/>
      <w:sz w:val="26"/>
      <w:szCs w:val="26"/>
    </w:rPr>
  </w:style>
  <w:style w:type="paragraph" w:styleId="Heading3">
    <w:name w:val="Heading 3"/>
    <w:basedOn w:val="Normal"/>
    <w:next w:val="Normal"/>
    <w:qFormat/>
    <w:pPr>
      <w:spacing w:after="100" w:before="2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2026-09-25T09:56:30.329Z</dcterms:created>
  <dcterms:modified xsi:type="dcterms:W3CDTF">2026-09-25T09:56:30.337Z</dcterms:modified>
</cp:coreProperties>
</file>

<file path=docProps/custom.xml><?xml version="1.0" encoding="utf-8"?>
<Properties xmlns="http://schemas.openxmlformats.org/officeDocument/2006/custom-properties" xmlns:vt="http://schemas.openxmlformats.org/officeDocument/2006/docPropsVTypes"/>
</file>