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line="252" w:lineRule="auto"/>
        <w:jc w:val="center"/>
      </w:pPr>
      <w:r>
        <w:rPr>
          <w:rFonts w:ascii="Times New Roman" w:hAnsi="Times New Roman"/>
          <w:b/>
          <w:i w:val="0"/>
          <w:color w:val="000000"/>
          <w:sz w:val="40"/>
        </w:rPr>
        <w:t>SecureMail: A Tri-Modal Hybrid Email Security Gateway and Forensics Framework for Zero-Trust Phishing and Optical Quishing Mitigation</w:t>
      </w:r>
    </w:p>
    <w:tbl>
      <w:tblPr>
        <w:tblW w:type="auto" w:w="0"/>
        <w:jc w:val="center"/>
        <w:tblLook w:firstColumn="1" w:firstRow="1" w:lastColumn="0" w:lastRow="0" w:noHBand="0" w:noVBand="1" w:val="04A0"/>
      </w:tblPr>
      <w:tblGrid>
        <w:gridCol w:w="2592"/>
        <w:gridCol w:w="2592"/>
        <w:gridCol w:w="2592"/>
        <w:gridCol w:w="2592"/>
      </w:tblGrid>
      <w:tr>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Samir Khurshid</w:t>
              <w:br/>
            </w:r>
            <w:r>
              <w:rPr>
                <w:rFonts w:ascii="Times New Roman" w:hAnsi="Times New Roman"/>
                <w:b w:val="0"/>
                <w:i/>
                <w:color w:val="000000"/>
                <w:sz w:val="16"/>
              </w:rPr>
              <w:t>Enrollment: 2303031260196</w:t>
              <w:br/>
            </w:r>
            <w:r>
              <w:rPr>
                <w:rFonts w:ascii="Times New Roman" w:hAnsi="Times New Roman"/>
                <w:b w:val="0"/>
                <w:i/>
                <w:color w:val="000000"/>
                <w:sz w:val="15"/>
              </w:rPr>
              <w:t>2303031260196@paruluniversity.ac.in</w:t>
            </w:r>
          </w:p>
        </w:tc>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M Harshith Chowdary</w:t>
              <w:br/>
            </w:r>
            <w:r>
              <w:rPr>
                <w:rFonts w:ascii="Times New Roman" w:hAnsi="Times New Roman"/>
                <w:b w:val="0"/>
                <w:i/>
                <w:color w:val="000000"/>
                <w:sz w:val="16"/>
              </w:rPr>
              <w:t>Enrollment: 2303031260149</w:t>
              <w:br/>
            </w:r>
            <w:r>
              <w:rPr>
                <w:rFonts w:ascii="Times New Roman" w:hAnsi="Times New Roman"/>
                <w:b w:val="0"/>
                <w:i/>
                <w:color w:val="000000"/>
                <w:sz w:val="15"/>
              </w:rPr>
              <w:t>2303031260149@paruluniversity.ac.in</w:t>
            </w:r>
          </w:p>
        </w:tc>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Aman Kumar</w:t>
              <w:br/>
            </w:r>
            <w:r>
              <w:rPr>
                <w:rFonts w:ascii="Times New Roman" w:hAnsi="Times New Roman"/>
                <w:b w:val="0"/>
                <w:i/>
                <w:color w:val="000000"/>
                <w:sz w:val="16"/>
              </w:rPr>
              <w:t>Enrollment: 2303031260009</w:t>
              <w:br/>
            </w:r>
            <w:r>
              <w:rPr>
                <w:rFonts w:ascii="Times New Roman" w:hAnsi="Times New Roman"/>
                <w:b w:val="0"/>
                <w:i/>
                <w:color w:val="000000"/>
                <w:sz w:val="15"/>
              </w:rPr>
              <w:t>2303031260009@paruluniversity.ac.in</w:t>
            </w:r>
          </w:p>
        </w:tc>
        <w:tc>
          <w:tcPr>
            <w:tcW w:type="dxa" w:w="2592"/>
            <w:tcMar>
              <w:top w:w="20" w:type="dxa"/>
              <w:bottom w:w="20" w:type="dxa"/>
              <w:left w:w="20" w:type="dxa"/>
              <w:right w:w="20" w:type="dxa"/>
            </w:tcMar>
          </w:tcPr>
          <w:p>
            <w:pPr>
              <w:spacing w:line="252" w:lineRule="auto" w:before="0" w:after="40"/>
              <w:jc w:val="center"/>
            </w:pPr>
            <w:r>
              <w:rPr>
                <w:rFonts w:ascii="Times New Roman" w:hAnsi="Times New Roman"/>
                <w:b/>
                <w:i w:val="0"/>
                <w:color w:val="000000"/>
                <w:sz w:val="19"/>
              </w:rPr>
              <w:t>M. Prem Sai</w:t>
              <w:br/>
            </w:r>
            <w:r>
              <w:rPr>
                <w:rFonts w:ascii="Times New Roman" w:hAnsi="Times New Roman"/>
                <w:b w:val="0"/>
                <w:i/>
                <w:color w:val="000000"/>
                <w:sz w:val="16"/>
              </w:rPr>
              <w:t>Enrollment: 2303031260145</w:t>
              <w:br/>
            </w:r>
            <w:r>
              <w:rPr>
                <w:rFonts w:ascii="Times New Roman" w:hAnsi="Times New Roman"/>
                <w:b w:val="0"/>
                <w:i/>
                <w:color w:val="000000"/>
                <w:sz w:val="15"/>
              </w:rPr>
              <w:t>2303031260145@paruluniversity.ac.in</w:t>
            </w:r>
          </w:p>
        </w:tc>
      </w:tr>
    </w:tbl>
    <w:p>
      <w:pPr>
        <w:spacing w:before="80" w:after="40" w:line="252" w:lineRule="auto"/>
        <w:jc w:val="center"/>
      </w:pPr>
      <w:r>
        <w:rPr>
          <w:rFonts w:ascii="Times New Roman" w:hAnsi="Times New Roman"/>
          <w:b w:val="0"/>
          <w:i/>
          <w:color w:val="000000"/>
          <w:sz w:val="17"/>
        </w:rPr>
        <w:t>Department of Computer Science and Engineering (Cyber Security)</w:t>
        <w:br/>
        <w:t>Parul Institute of Engineering &amp; Technology, Parul University, Vadodara, Gujarat, India</w:t>
      </w:r>
    </w:p>
    <w:p>
      <w:pPr>
        <w:spacing w:before="40" w:after="160" w:line="252" w:lineRule="auto"/>
        <w:jc w:val="center"/>
      </w:pPr>
      <w:r>
        <w:rPr>
          <w:rFonts w:ascii="Times New Roman" w:hAnsi="Times New Roman"/>
          <w:b/>
          <w:i w:val="0"/>
          <w:color w:val="000000"/>
          <w:sz w:val="18"/>
        </w:rPr>
        <w:t>Under the Guidance of: Prof. Akash Patel &amp; Dr. Snehlata Barde</w:t>
      </w:r>
    </w:p>
    <w:p>
      <w:pPr>
        <w:spacing w:before="80" w:after="60" w:line="252" w:lineRule="auto"/>
        <w:jc w:val="both"/>
      </w:pPr>
      <w:r>
        <w:rPr>
          <w:rFonts w:ascii="Times New Roman" w:hAnsi="Times New Roman"/>
          <w:b/>
          <w:i/>
          <w:color w:val="000000"/>
          <w:sz w:val="17"/>
        </w:rPr>
        <w:t xml:space="preserve">Abstract - </w:t>
      </w:r>
      <w:r>
        <w:rPr>
          <w:rFonts w:ascii="Times New Roman" w:hAnsi="Times New Roman"/>
          <w:b w:val="0"/>
          <w:i/>
          <w:color w:val="000000"/>
          <w:sz w:val="17"/>
        </w:rPr>
        <w:t>Most enterprise email defenses still operate under a broken assumption: that malicious messages arrive as plain text. Modern attackers have moved on. They now routinely weaponize optical QR codes (quishing) and generate bespoke pretexts using large language models, slipping past perimeter secure email gateways without triggering a single lexical rule. When gateways do flag messages, they often misread urgent wording from legitimate internal senders, burying security teams under false alerts. To tackle this, we built SecureMail-a tri-modal defense framework that shifts inspection directly to the client reading pane. SecureMail couples three synchronized detection layers: (1) an event-driven Manifest V3 browser extension that captures DOM mutations in real time without storing user emails, (2) an optical computer vision module applying bilateral filtering and Otsu binarization to detonate embedded QR matrices, and (3) an asynchronous DNS-over-HTTPS resolver validating SPF, DKIM, DMARC, and ARC alignment over TLS 1.3. We also introduce the Authentic Sender Discount (D_auth = 0.22), a Bayesian probability modifier that cancels out urgency-driven false alarms when cryptographic sender proof is intact. Evaluated on an unseen 1,500-sample test partition drawn from an 8-corpus benchmark of 5,000 emails (including Nazario, Enron, and contemporary quishing campaigns), SecureMail Tier 1 (Quick Scan) achieves 97.87% accuracy, 98.4% quishing recall, and cuts the false positive rate on urgent institutional emails down to 0.95%-all within 110 ms of local execution time. For ambiguous edge cases, Tier 2 (Deep Scan) routes payload hashes to a multi-engine sandbox, reaching 99.8% detection across 87 commercial engines. We evaluate SecureMail against 12 baseline models spanning 2007 to 2026, establishing an effective operational blueprint for client-edge email defense.</w:t>
      </w:r>
    </w:p>
    <w:p>
      <w:pPr>
        <w:spacing w:before="40" w:after="200"/>
        <w:jc w:val="both"/>
      </w:pPr>
      <w:r>
        <w:rPr>
          <w:rFonts w:ascii="Times New Roman" w:hAnsi="Times New Roman"/>
          <w:b/>
          <w:i/>
          <w:color w:val="000000"/>
          <w:sz w:val="17"/>
        </w:rPr>
        <w:t xml:space="preserve">Index Terms - </w:t>
      </w:r>
      <w:r>
        <w:rPr>
          <w:rFonts w:ascii="Times New Roman" w:hAnsi="Times New Roman"/>
          <w:b w:val="0"/>
          <w:i/>
          <w:color w:val="000000"/>
          <w:sz w:val="17"/>
        </w:rPr>
        <w:t>Email Security, Optical Quishing, Computer Vision, DNS-over-HTTPS (DoH), Homoglyph Detection, Zero-Trust Architecture, Machine Learning, Transformer Language Models, Business Email Compromise (BEC), Forensic Ingestion.</w:t>
      </w:r>
    </w:p>
    <w:p>
      <w:pPr>
        <w:sectPr>
          <w:pgSz w:w="12240" w:h="15840"/>
          <w:pgMar w:top="1008" w:right="936" w:bottom="1008" w:left="936" w:header="720" w:footer="720" w:gutter="0"/>
          <w:cols w:space="720"/>
          <w:docGrid w:linePitch="360"/>
        </w:sectPr>
      </w:pPr>
    </w:p>
    <w:p>
      <w:pPr>
        <w:spacing w:before="160" w:after="50" w:line="252" w:lineRule="auto"/>
        <w:jc w:val="left"/>
      </w:pPr>
      <w:r>
        <w:rPr>
          <w:rFonts w:ascii="Times New Roman" w:hAnsi="Times New Roman"/>
          <w:b/>
          <w:i w:val="0"/>
          <w:color w:val="000000"/>
          <w:sz w:val="19"/>
        </w:rPr>
        <w:t>I. INTRODUCTION</w:t>
      </w:r>
    </w:p>
    <w:p>
      <w:pPr>
        <w:spacing w:before="0" w:after="60" w:line="252" w:lineRule="auto"/>
        <w:jc w:val="both"/>
      </w:pPr>
      <w:r>
        <w:rPr>
          <w:rFonts w:ascii="Times New Roman" w:hAnsi="Times New Roman"/>
          <w:b w:val="0"/>
          <w:i w:val="0"/>
          <w:color w:val="000000"/>
          <w:sz w:val="17"/>
        </w:rPr>
        <w:t>Enterprise security teams spend millions on perimeter email defenses, yet spear-phishing remains the top vector for ransomware and corporate data breaches [1], [2]. The reason is architectural. Traditional boundary Mail Transfer Agents (MTAs) and Secure Email Gateways (SEGs) inspect messages as they cross the network perimeter, relying on known IP blocklists, regex signatures, and statistical language heuristics [2], [3]. If a threat slips through or originates from a compromised internal mailbox, the perimeter gateway never sees how the message renders inside the employee's browser or desktop mail client [1].</w:t>
      </w:r>
    </w:p>
    <w:p>
      <w:pPr>
        <w:spacing w:before="0" w:after="60" w:line="252" w:lineRule="auto"/>
        <w:jc w:val="both"/>
      </w:pPr>
      <w:r>
        <w:rPr>
          <w:rFonts w:ascii="Times New Roman" w:hAnsi="Times New Roman"/>
          <w:b w:val="0"/>
          <w:i w:val="0"/>
          <w:color w:val="000000"/>
          <w:sz w:val="17"/>
        </w:rPr>
        <w:t>Compounding this visibility gap, phishing campaigns between 2023 and 2026 adopted multimodal evasions that render text-only filters useless. The most aggressive is optical quishing-embedding phishing lures inside Quick Response (QR) codes [6], [17], [18]. In a recent empirical study across 71,000 corporate phishing messages, Zhang et al. [18] found that QR phishing achieved victim click rates matching standard link attacks, while sailing past commercial SEGs in 91.8% of deliveries. The explanation is simple: an optical QR matrix contains no readable ASCII strings in the raw MIME stream. Text models and keyword scrapers find nothing to analyze [17].</w:t>
      </w:r>
    </w:p>
    <w:p>
      <w:pPr>
        <w:spacing w:before="0" w:after="60" w:line="252" w:lineRule="auto"/>
        <w:jc w:val="both"/>
      </w:pPr>
      <w:r>
        <w:rPr>
          <w:rFonts w:ascii="Times New Roman" w:hAnsi="Times New Roman"/>
          <w:b w:val="0"/>
          <w:i w:val="0"/>
          <w:color w:val="000000"/>
          <w:sz w:val="17"/>
        </w:rPr>
        <w:t>At the same time, attackers leverage generative AI to craft grammatically clean spear-phishing pretexts at scale, stripping away traditional grammatical flaws [21], [22]. They also register Internationalized Domain Names (IDNs) containing Cyrillic or Greek lookalikes to fool human eyes while bypassing strict ASCII string checks [23].</w:t>
      </w:r>
    </w:p>
    <w:p>
      <w:pPr>
        <w:spacing w:before="0" w:after="60" w:line="252" w:lineRule="auto"/>
        <w:jc w:val="both"/>
      </w:pPr>
      <w:r>
        <w:rPr>
          <w:rFonts w:ascii="Times New Roman" w:hAnsi="Times New Roman"/>
          <w:b w:val="0"/>
          <w:i w:val="0"/>
          <w:color w:val="000000"/>
          <w:sz w:val="17"/>
        </w:rPr>
        <w:t>We built SecureMail to bridge these defensive blind spots. By pairing a lightweight Manifest V3 client extension with a local computer vision pipeline, asynchronous DNS-over-HTTPS (DoH) provenance checks, and a Bayesian trust discount, SecureMail inspects emails at the moment of rendering-stopping multimodal threats in under 110 ms without compromising inbox privacy.</w:t>
      </w:r>
    </w:p>
    <w:p>
      <w:pPr>
        <w:spacing w:before="160" w:after="50" w:line="252" w:lineRule="auto"/>
        <w:jc w:val="left"/>
      </w:pPr>
      <w:r>
        <w:rPr>
          <w:rFonts w:ascii="Times New Roman" w:hAnsi="Times New Roman"/>
          <w:b/>
          <w:i w:val="0"/>
          <w:color w:val="000000"/>
          <w:sz w:val="19"/>
        </w:rPr>
        <w:t>II. PROBLEM STATEMENT AND RESEARCH OBJECTIVES</w:t>
      </w:r>
    </w:p>
    <w:p>
      <w:pPr>
        <w:spacing w:before="0" w:after="60" w:line="252" w:lineRule="auto"/>
        <w:jc w:val="both"/>
      </w:pPr>
      <w:r>
        <w:rPr>
          <w:rFonts w:ascii="Times New Roman" w:hAnsi="Times New Roman"/>
          <w:b w:val="0"/>
          <w:i w:val="0"/>
          <w:color w:val="000000"/>
          <w:sz w:val="17"/>
        </w:rPr>
        <w:t>Our examination of contemporary email security revealed three recurring points of failure: 1) Client-Edge Invisibility: Boundary gateways evaluate messages before delivery, maintaining zero visibility over dynamic DOM rendering, delayed script payloads, or compromised internal tenant mailboxes [1], [24]. 2) Computer Vision Blindness: Mainstream filters parse text tokens, headers, and basic HTML markup. When a threat arrives as an image, text parsers see only raw base64 noise, missing 91.8% of QR phishing payloads [6], [17], [18]. 3) Alert Fatigue from Urgent Clean Mail: Spam models penalize urgent words ('immediate response required', 'payroll deadline'). Lacking cryptographic proof of sender identity, they misflag legitimate university, banking, and HR notices, causing false alarm rates up to 11.20% and training users to ignore security banners [8], [16].</w:t>
      </w:r>
    </w:p>
    <w:p>
      <w:pPr>
        <w:spacing w:before="100" w:after="40"/>
        <w:jc w:val="center"/>
      </w:pPr>
      <w:r>
        <w:drawing>
          <wp:inline xmlns:a="http://schemas.openxmlformats.org/drawingml/2006/main" xmlns:pic="http://schemas.openxmlformats.org/drawingml/2006/picture">
            <wp:extent cx="3063240" cy="3685461"/>
            <wp:docPr id="1" name="Picture 1"/>
            <wp:cNvGraphicFramePr>
              <a:graphicFrameLocks noChangeAspect="1"/>
            </wp:cNvGraphicFramePr>
            <a:graphic>
              <a:graphicData uri="http://schemas.openxmlformats.org/drawingml/2006/picture">
                <pic:pic>
                  <pic:nvPicPr>
                    <pic:cNvPr id="0" name="fig2_problem_statement_objectives.png"/>
                    <pic:cNvPicPr/>
                  </pic:nvPicPr>
                  <pic:blipFill>
                    <a:blip r:embed="rId9"/>
                    <a:stretch>
                      <a:fillRect/>
                    </a:stretch>
                  </pic:blipFill>
                  <pic:spPr>
                    <a:xfrm>
                      <a:off x="0" y="0"/>
                      <a:ext cx="3063240" cy="368546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 Threat Vector Surge Dynamics (2020-2026) and Problem-to-Objective Engineering Alignment Matrix for Zero-Trust Email Security.</w:t>
      </w:r>
    </w:p>
    <w:p>
      <w:pPr>
        <w:spacing w:before="0" w:after="60" w:line="252" w:lineRule="auto"/>
        <w:jc w:val="both"/>
      </w:pPr>
      <w:r>
        <w:rPr>
          <w:rFonts w:ascii="Times New Roman" w:hAnsi="Times New Roman"/>
          <w:b w:val="0"/>
          <w:i w:val="0"/>
          <w:color w:val="000000"/>
          <w:sz w:val="17"/>
        </w:rPr>
        <w:t>Fig. 1 maps this empirical reality. In Fig. 1(a), threat volumes tracked from 2020 to 2026 demonstrate how traditional link phishing has plateaued, whereas generative pretexts (+2,100%) and optical quishing (+1,750%) have exploded. In Fig. 1(b), we contrast these evasion vectors against our engineering response matrix, highlighting how SecureMail eliminates the 91.8% quishing bypass and reins in the 11.2% false alarm rate.</w:t>
      </w:r>
    </w:p>
    <w:p>
      <w:pPr>
        <w:spacing w:before="0" w:after="60" w:line="252" w:lineRule="auto"/>
        <w:jc w:val="both"/>
      </w:pPr>
      <w:r>
        <w:rPr>
          <w:rFonts w:ascii="Times New Roman" w:hAnsi="Times New Roman"/>
          <w:b w:val="0"/>
          <w:i w:val="0"/>
          <w:color w:val="000000"/>
          <w:sz w:val="17"/>
        </w:rPr>
        <w:t>To resolve these challenges, we defined six practical engineering goals:</w:t>
      </w:r>
    </w:p>
    <w:p>
      <w:pPr>
        <w:spacing w:before="0" w:after="60" w:line="252" w:lineRule="auto"/>
        <w:jc w:val="both"/>
      </w:pPr>
      <w:r>
        <w:rPr>
          <w:rFonts w:ascii="Times New Roman" w:hAnsi="Times New Roman"/>
          <w:b w:val="0"/>
          <w:i w:val="0"/>
          <w:color w:val="000000"/>
          <w:sz w:val="17"/>
        </w:rPr>
        <w:t>- Objective 1 (Client-Edge DOM Ingestion): Deploy a Manifest V3 browser extension that hooks into Gmail and Outlook Web via MutationObserver, parsing inbound DOM structures locally without storing credentials or messages on disk.</w:t>
      </w:r>
    </w:p>
    <w:p>
      <w:pPr>
        <w:spacing w:before="0" w:after="60" w:line="252" w:lineRule="auto"/>
        <w:jc w:val="both"/>
      </w:pPr>
      <w:r>
        <w:rPr>
          <w:rFonts w:ascii="Times New Roman" w:hAnsi="Times New Roman"/>
          <w:b w:val="0"/>
          <w:i w:val="0"/>
          <w:color w:val="000000"/>
          <w:sz w:val="17"/>
        </w:rPr>
        <w:t>- Objective 2 (Asynchronous Micro-Gateway): Build a Python FastAPI gateway delivering sub-110 ms local inference so users never experience reading-pane latency.</w:t>
      </w:r>
    </w:p>
    <w:p>
      <w:pPr>
        <w:spacing w:before="0" w:after="60" w:line="252" w:lineRule="auto"/>
        <w:jc w:val="both"/>
      </w:pPr>
      <w:r>
        <w:rPr>
          <w:rFonts w:ascii="Times New Roman" w:hAnsi="Times New Roman"/>
          <w:b w:val="0"/>
          <w:i w:val="0"/>
          <w:color w:val="000000"/>
          <w:sz w:val="17"/>
        </w:rPr>
        <w:t>- Objective 3 (Cryptographic DoH Resolver): Implement an asynchronous DNS-over-HTTPS resolver querying Cloudflare (1.1.1.1) and Google (8.8.8.8) [7], [10] to verify SPF (RFC 7208) [12], DKIM (RFC 6376) [13], and DMARC (RFC 7489) [14] alignment over TLS 1.3 [11], alongside Authenticated Received Chain (ARC) provenance [15].</w:t>
      </w:r>
    </w:p>
    <w:p>
      <w:pPr>
        <w:spacing w:before="0" w:after="60" w:line="252" w:lineRule="auto"/>
        <w:jc w:val="both"/>
      </w:pPr>
      <w:r>
        <w:rPr>
          <w:rFonts w:ascii="Times New Roman" w:hAnsi="Times New Roman"/>
          <w:b w:val="0"/>
          <w:i w:val="0"/>
          <w:color w:val="000000"/>
          <w:sz w:val="17"/>
        </w:rPr>
        <w:t>- Objective 4 (Optical Computer Vision Detonation): Construct a computer vision pipeline using bilateral filtering, Otsu binarization, and morphological dilation to decode degraded QR images in under 30 ms.</w:t>
      </w:r>
    </w:p>
    <w:p>
      <w:pPr>
        <w:spacing w:before="0" w:after="60" w:line="252" w:lineRule="auto"/>
        <w:jc w:val="both"/>
      </w:pPr>
      <w:r>
        <w:rPr>
          <w:rFonts w:ascii="Times New Roman" w:hAnsi="Times New Roman"/>
          <w:b w:val="0"/>
          <w:i w:val="0"/>
          <w:color w:val="000000"/>
          <w:sz w:val="17"/>
        </w:rPr>
        <w:t>- Objective 5 (Authentic Sender Discount Formulation): Establish a Bayesian risk fusion formula incorporating our Authentic Sender Discount (D_auth = 0.22) to drive urgency false alarms on verified institutional emails below 1.0%.</w:t>
      </w:r>
    </w:p>
    <w:p>
      <w:pPr>
        <w:spacing w:before="0" w:after="60" w:line="252" w:lineRule="auto"/>
        <w:jc w:val="both"/>
      </w:pPr>
      <w:r>
        <w:rPr>
          <w:rFonts w:ascii="Times New Roman" w:hAnsi="Times New Roman"/>
          <w:b w:val="0"/>
          <w:i w:val="0"/>
          <w:color w:val="000000"/>
          <w:sz w:val="17"/>
        </w:rPr>
        <w:t>- Objective 6 (Reproducible Multi-Model Benchmark): Benchmark SecureMail against 12 historical and contemporary models spanning 2007 through 2026 across standardized corpora (Nazario, Enron, PhishTank, SpamAssassin) with fully published artifacts.</w:t>
      </w:r>
    </w:p>
    <w:p>
      <w:pPr>
        <w:spacing w:before="160" w:after="50" w:line="252" w:lineRule="auto"/>
        <w:jc w:val="left"/>
      </w:pPr>
      <w:r>
        <w:rPr>
          <w:rFonts w:ascii="Times New Roman" w:hAnsi="Times New Roman"/>
          <w:b/>
          <w:i w:val="0"/>
          <w:color w:val="000000"/>
          <w:sz w:val="19"/>
        </w:rPr>
        <w:t>III. THEORETICAL FOUNDATIONS AND THREAT MODELING</w:t>
      </w:r>
    </w:p>
    <w:p>
      <w:pPr>
        <w:spacing w:before="0" w:after="60" w:line="252" w:lineRule="auto"/>
        <w:jc w:val="both"/>
      </w:pPr>
      <w:r>
        <w:rPr>
          <w:rFonts w:ascii="Times New Roman" w:hAnsi="Times New Roman"/>
          <w:b w:val="0"/>
          <w:i w:val="0"/>
          <w:color w:val="000000"/>
          <w:sz w:val="17"/>
        </w:rPr>
        <w:t>To establish mathematical rigor, SecureMail models email risk across four computational domains: Information Theory, Metric Space Distances, Image Matrix Transformations, and Bayesian Probability Fusion.</w:t>
      </w:r>
    </w:p>
    <w:p>
      <w:pPr>
        <w:spacing w:before="100" w:after="40" w:line="252" w:lineRule="auto"/>
        <w:jc w:val="left"/>
      </w:pPr>
      <w:r>
        <w:rPr>
          <w:rFonts w:ascii="Times New Roman" w:hAnsi="Times New Roman"/>
          <w:b/>
          <w:i/>
          <w:color w:val="000000"/>
          <w:sz w:val="17"/>
        </w:rPr>
        <w:t>A. Information-Theoretic Entropy of Obfuscated URLs</w:t>
      </w:r>
    </w:p>
    <w:p>
      <w:pPr>
        <w:spacing w:before="0" w:after="60" w:line="252" w:lineRule="auto"/>
        <w:jc w:val="both"/>
      </w:pPr>
      <w:r>
        <w:rPr>
          <w:rFonts w:ascii="Times New Roman" w:hAnsi="Times New Roman"/>
          <w:b w:val="0"/>
          <w:i w:val="0"/>
          <w:color w:val="000000"/>
          <w:sz w:val="17"/>
        </w:rPr>
        <w:t>Attackers frequently inject pseudo-random tracking strings and Domain Generation Algorithm (DGA) labels to dodge keyword matching. We gauge string randomness through Shannon Entropy H(S). For any string S of length L with unique characters c_1 through c_k and empirical probability p(c_i) = count(c_i) / L:</w:t>
      </w:r>
    </w:p>
    <w:p>
      <w:pPr>
        <w:spacing w:before="50" w:after="50" w:line="252" w:lineRule="auto"/>
        <w:jc w:val="center"/>
      </w:pPr>
      <w:r>
        <w:rPr>
          <w:rFonts w:ascii="Times New Roman" w:hAnsi="Times New Roman"/>
          <w:b w:val="0"/>
          <w:i/>
          <w:color w:val="000000"/>
          <w:sz w:val="16"/>
        </w:rPr>
        <w:t>H(S) = - sum_{i=1}^{k} p(c_i) log_2 p(c_i)               (1)</w:t>
      </w:r>
    </w:p>
    <w:p>
      <w:pPr>
        <w:spacing w:before="0" w:after="60" w:line="252" w:lineRule="auto"/>
        <w:jc w:val="both"/>
      </w:pPr>
      <w:r>
        <w:rPr>
          <w:rFonts w:ascii="Times New Roman" w:hAnsi="Times New Roman"/>
          <w:b w:val="0"/>
          <w:i w:val="0"/>
          <w:color w:val="000000"/>
          <w:sz w:val="17"/>
        </w:rPr>
        <w:t>Established enterprise domains usually exhibit entropy between 2.4 and 3.6. In contrast, randomized tracking tokens and phishing hashes regularly exceed H(S) &gt; 4.25. SecureMail evaluates H(S) across domain labels and path components, assigning a proportional risk penalty P_entropy between 0 and 0.25.</w:t>
      </w:r>
    </w:p>
    <w:p>
      <w:pPr>
        <w:spacing w:before="100" w:after="40" w:line="252" w:lineRule="auto"/>
        <w:jc w:val="left"/>
      </w:pPr>
      <w:r>
        <w:rPr>
          <w:rFonts w:ascii="Times New Roman" w:hAnsi="Times New Roman"/>
          <w:b/>
          <w:i/>
          <w:color w:val="000000"/>
          <w:sz w:val="17"/>
        </w:rPr>
        <w:t>B. Metric Space Distance for IDN Homoglyph Detection</w:t>
      </w:r>
    </w:p>
    <w:p>
      <w:pPr>
        <w:spacing w:before="0" w:after="60" w:line="252" w:lineRule="auto"/>
        <w:jc w:val="both"/>
      </w:pPr>
      <w:r>
        <w:rPr>
          <w:rFonts w:ascii="Times New Roman" w:hAnsi="Times New Roman"/>
          <w:b w:val="0"/>
          <w:i w:val="0"/>
          <w:color w:val="000000"/>
          <w:sz w:val="17"/>
        </w:rPr>
        <w:t>Phishing operators frequently register Internationalized Domain Names (IDNs) using Cyrillic or Greek lookalikes (such as Cyrillic 'a' [U+0430] matching Latin 'a' [U+0061]) to impersonate brands. We quantify visual similarity using Normalized Levenshtein Distance. Let Lev(D_1, D_2) denote the minimum edit operations converting D_1 into brand target D_2:</w:t>
      </w:r>
    </w:p>
    <w:p>
      <w:pPr>
        <w:spacing w:before="50" w:after="50" w:line="252" w:lineRule="auto"/>
        <w:jc w:val="center"/>
      </w:pPr>
      <w:r>
        <w:rPr>
          <w:rFonts w:ascii="Times New Roman" w:hAnsi="Times New Roman"/>
          <w:b w:val="0"/>
          <w:i/>
          <w:color w:val="000000"/>
          <w:sz w:val="16"/>
        </w:rPr>
        <w:t>Sim_Lev(D_1, D_2) = 1 - Lev(D_1, D_2) / max(|D_1|, |D_2|)       (2)</w:t>
      </w:r>
    </w:p>
    <w:p>
      <w:pPr>
        <w:spacing w:before="0" w:after="60" w:line="252" w:lineRule="auto"/>
        <w:jc w:val="both"/>
      </w:pPr>
      <w:r>
        <w:rPr>
          <w:rFonts w:ascii="Times New Roman" w:hAnsi="Times New Roman"/>
          <w:b w:val="0"/>
          <w:i w:val="0"/>
          <w:color w:val="000000"/>
          <w:sz w:val="17"/>
        </w:rPr>
        <w:t>Before computing string distance, our engine applies Unicode Confusable Normalization (UTR #39) [28], mapping international glyphs to canonical Latin skeletons. If Sim_Lev(D_confusable, D_brand) &gt;= 0.85 while D_1 != D_2, SecureMail flags an IDN masquerade alert with penalty P_homoglyph = 0.80.</w:t>
      </w:r>
    </w:p>
    <w:p>
      <w:pPr>
        <w:spacing w:before="100" w:after="40" w:line="252" w:lineRule="auto"/>
        <w:jc w:val="left"/>
      </w:pPr>
      <w:r>
        <w:rPr>
          <w:rFonts w:ascii="Times New Roman" w:hAnsi="Times New Roman"/>
          <w:b/>
          <w:i/>
          <w:color w:val="000000"/>
          <w:sz w:val="17"/>
        </w:rPr>
        <w:t>C. Computer Vision Image Matrix Filtering &amp; Otsu Criterion</w:t>
      </w:r>
    </w:p>
    <w:p>
      <w:pPr>
        <w:spacing w:before="0" w:after="60" w:line="252" w:lineRule="auto"/>
        <w:jc w:val="both"/>
      </w:pPr>
      <w:r>
        <w:rPr>
          <w:rFonts w:ascii="Times New Roman" w:hAnsi="Times New Roman"/>
          <w:b w:val="0"/>
          <w:i w:val="0"/>
          <w:color w:val="000000"/>
          <w:sz w:val="17"/>
        </w:rPr>
        <w:t>Embedded QR codes in emails are frequently degraded by aggressive compression, intentional contrast lowering, or background patterns. We model each extracted image as a 2D intensity grid I(x, y). Instead of standard Gaussian blur, which rounds off finder corners, we use Bilateral Filtering to smooth noise while preserving critical high-frequency edges:</w:t>
      </w:r>
    </w:p>
    <w:p>
      <w:pPr>
        <w:spacing w:before="50" w:after="50" w:line="252" w:lineRule="auto"/>
        <w:jc w:val="center"/>
      </w:pPr>
      <w:r>
        <w:rPr>
          <w:rFonts w:ascii="Times New Roman" w:hAnsi="Times New Roman"/>
          <w:b w:val="0"/>
          <w:i/>
          <w:color w:val="000000"/>
          <w:sz w:val="16"/>
        </w:rPr>
        <w:t>I_filtered(p) = (1 / W_p) sum_{q in Omega} I(q) f_r(||I(q) - I(p)||) g_s(||q - p||)     (3)</w:t>
      </w:r>
    </w:p>
    <w:p>
      <w:pPr>
        <w:spacing w:before="0" w:after="60" w:line="252" w:lineRule="auto"/>
        <w:jc w:val="both"/>
      </w:pPr>
      <w:r>
        <w:rPr>
          <w:rFonts w:ascii="Times New Roman" w:hAnsi="Times New Roman"/>
          <w:b w:val="0"/>
          <w:i w:val="0"/>
          <w:color w:val="000000"/>
          <w:sz w:val="17"/>
        </w:rPr>
        <w:t>where W_p normalizes weights, g_s is a spatial Gaussian kernel, and f_r is an intensity radiometric kernel. To binarize the image without manual threshold tuning, our engine maximizes Otsu's inter-class variance sigma_B^2(t):</w:t>
      </w:r>
    </w:p>
    <w:p>
      <w:pPr>
        <w:spacing w:before="50" w:after="50" w:line="252" w:lineRule="auto"/>
        <w:jc w:val="center"/>
      </w:pPr>
      <w:r>
        <w:rPr>
          <w:rFonts w:ascii="Times New Roman" w:hAnsi="Times New Roman"/>
          <w:b w:val="0"/>
          <w:i/>
          <w:color w:val="000000"/>
          <w:sz w:val="16"/>
        </w:rPr>
        <w:t>sigma_B^2(t*) = max_t [ omega_0(t) omega_1(t) (mu_0(t) - mu_1(t))^2 ]          (4)</w:t>
      </w:r>
    </w:p>
    <w:p>
      <w:pPr>
        <w:spacing w:before="0" w:after="60" w:line="252" w:lineRule="auto"/>
        <w:jc w:val="both"/>
      </w:pPr>
      <w:r>
        <w:rPr>
          <w:rFonts w:ascii="Times New Roman" w:hAnsi="Times New Roman"/>
          <w:b w:val="0"/>
          <w:i w:val="0"/>
          <w:color w:val="000000"/>
          <w:sz w:val="17"/>
        </w:rPr>
        <w:t>where omega_0 and omega_1 represent background and foreground class probabilities at threshold t, and mu_0, mu_1 represent their respective mean intensities. Morphological dilation with a 3x3 structuring element then joins broken timing patterns, enabling pyzbar to decode payload URLs with 98.4% recall.</w:t>
      </w:r>
    </w:p>
    <w:p>
      <w:pPr>
        <w:spacing w:before="100" w:after="40" w:line="252" w:lineRule="auto"/>
        <w:jc w:val="left"/>
      </w:pPr>
      <w:r>
        <w:rPr>
          <w:rFonts w:ascii="Times New Roman" w:hAnsi="Times New Roman"/>
          <w:b/>
          <w:i/>
          <w:color w:val="000000"/>
          <w:sz w:val="17"/>
        </w:rPr>
        <w:t>D. Cryptographic DNS Provenance &amp; Authentic Sender Discount</w:t>
      </w:r>
    </w:p>
    <w:p>
      <w:pPr>
        <w:spacing w:before="0" w:after="60" w:line="252" w:lineRule="auto"/>
        <w:jc w:val="both"/>
      </w:pPr>
      <w:r>
        <w:rPr>
          <w:rFonts w:ascii="Times New Roman" w:hAnsi="Times New Roman"/>
          <w:b w:val="0"/>
          <w:i w:val="0"/>
          <w:color w:val="000000"/>
          <w:sz w:val="17"/>
        </w:rPr>
        <w:t>To resolve the chronic friction between urgent email text and legitimate administrative notices, we integrate Forward-Confirmed Reverse DNS (FCrDNS) and DNS-over-HTTPS (DoH) header verification into our Bayesian fusion:</w:t>
      </w:r>
    </w:p>
    <w:p>
      <w:pPr>
        <w:spacing w:before="50" w:after="50" w:line="252" w:lineRule="auto"/>
        <w:jc w:val="center"/>
      </w:pPr>
      <w:r>
        <w:rPr>
          <w:rFonts w:ascii="Times New Roman" w:hAnsi="Times New Roman"/>
          <w:b w:val="0"/>
          <w:i/>
          <w:color w:val="000000"/>
          <w:sz w:val="16"/>
        </w:rPr>
        <w:t>P_fused = 1 - (1 - P_nlp) * (1 - P_quish)                  (5)</w:t>
      </w:r>
    </w:p>
    <w:p>
      <w:pPr>
        <w:spacing w:before="50" w:after="50" w:line="252" w:lineRule="auto"/>
        <w:jc w:val="center"/>
      </w:pPr>
      <w:r>
        <w:rPr>
          <w:rFonts w:ascii="Times New Roman" w:hAnsi="Times New Roman"/>
          <w:b w:val="0"/>
          <w:i/>
          <w:color w:val="000000"/>
          <w:sz w:val="16"/>
        </w:rPr>
        <w:t>P_final = min(1.0, max(0.0, P_fused + P_penalty - D_auth * I_auth)) (6)</w:t>
      </w:r>
    </w:p>
    <w:p>
      <w:pPr>
        <w:spacing w:before="0" w:after="60" w:line="252" w:lineRule="auto"/>
        <w:jc w:val="both"/>
      </w:pPr>
      <w:r>
        <w:rPr>
          <w:rFonts w:ascii="Times New Roman" w:hAnsi="Times New Roman"/>
          <w:b w:val="0"/>
          <w:i w:val="0"/>
          <w:color w:val="000000"/>
          <w:sz w:val="17"/>
        </w:rPr>
        <w:t>Here, I_auth is a strict binary indicator returning 1 only when SPF, DKIM, and DMARC all return verified 'pass' states over secure DoH. Through tuning across 1,500 validation emails, we established an optimal discount factor D_auth = 0.22, effectively neutralizing urgency alarms on legitimate, cryptographically authentic traffic.</w:t>
      </w:r>
    </w:p>
    <w:p>
      <w:pPr>
        <w:spacing w:before="160" w:after="50" w:line="252" w:lineRule="auto"/>
        <w:jc w:val="left"/>
      </w:pPr>
      <w:r>
        <w:rPr>
          <w:rFonts w:ascii="Times New Roman" w:hAnsi="Times New Roman"/>
          <w:b/>
          <w:i w:val="0"/>
          <w:color w:val="000000"/>
          <w:sz w:val="19"/>
        </w:rPr>
        <w:t>IV. RELATED WORK &amp; EVOLUTION OF PHISHING DETECTION (2007–2026)</w:t>
      </w:r>
    </w:p>
    <w:p>
      <w:pPr>
        <w:spacing w:before="0" w:after="60" w:line="252" w:lineRule="auto"/>
        <w:jc w:val="both"/>
      </w:pPr>
      <w:r>
        <w:rPr>
          <w:rFonts w:ascii="Times New Roman" w:hAnsi="Times New Roman"/>
          <w:b w:val="0"/>
          <w:i w:val="0"/>
          <w:color w:val="000000"/>
          <w:sz w:val="17"/>
        </w:rPr>
        <w:t>Over the past twenty years, email security research evolved across three major phases: handcrafted feature engineering (2007-2015), deep semantic modeling (2016-2022), and multimodal zero-trust architectures (2023-2026).</w:t>
      </w:r>
    </w:p>
    <w:p>
      <w:pPr>
        <w:spacing w:before="0" w:after="60" w:line="252" w:lineRule="auto"/>
        <w:jc w:val="both"/>
      </w:pPr>
      <w:r>
        <w:rPr>
          <w:rFonts w:ascii="Times New Roman" w:hAnsi="Times New Roman"/>
          <w:b w:val="0"/>
          <w:i w:val="0"/>
          <w:color w:val="000000"/>
          <w:sz w:val="17"/>
        </w:rPr>
        <w:t>A. Classical Classifiers (2007-2015): In 2007, Fette et al. [2] introduced PILFER, pioneering machine learning on the Nazario corpus [5] using ten handcrafted lexical features across Naive Bayes and Random Forest. Toolan and Carthy [3] expanded the feature vector to 21 structural attributes, finding Random Forest provided greater stability under skewed token distributions. Basnet, Mukkamala, and Sung [4] trained Support Vector Machines (SVM) with RBF kernels, showing high accuracy on pristine text but sharp degradation on noisy vocabularies. However, these early systems evaluated ASCII tokens in isolation; they could neither decode visual QR payloads nor verify cryptographic DNS headers [16].</w:t>
      </w:r>
    </w:p>
    <w:p>
      <w:pPr>
        <w:spacing w:before="0" w:after="60" w:line="252" w:lineRule="auto"/>
        <w:jc w:val="both"/>
      </w:pPr>
      <w:r>
        <w:rPr>
          <w:rFonts w:ascii="Times New Roman" w:hAnsi="Times New Roman"/>
          <w:b w:val="0"/>
          <w:i w:val="0"/>
          <w:color w:val="000000"/>
          <w:sz w:val="17"/>
        </w:rPr>
        <w:t>B. The Multimodal Evasion Era (2023-2024): Vasek, Wadleigh, and Christin [6] conducted the first comprehensive wild empirical study of optical quishing, demonstrating that QR deception slipped past commercial perimeter gateways in over 85% of campaigns. Foster, Johnson, and Lee [8] audited SPF, DKIM, and DMARC adoption across 100,000 domains, uncovering widespread misconfigurations that permitted trivial sender impersonation. Chen, Zhang, and Wang [9] proposed visual phishing detection with deep embeddings, though their pipeline required computationally expensive GPU infrastructure. Concurrently, Zhang, Shen, and Ren [23] characterized the exploitation of Internationalized Domain Names (IDNs), proving that visual lookalikes reliably defeated ASCII exact-match filters across modern registries.</w:t>
      </w:r>
    </w:p>
    <w:p>
      <w:pPr>
        <w:spacing w:before="0" w:after="60" w:line="252" w:lineRule="auto"/>
        <w:jc w:val="both"/>
      </w:pPr>
      <w:r>
        <w:rPr>
          <w:rFonts w:ascii="Times New Roman" w:hAnsi="Times New Roman"/>
          <w:b w:val="0"/>
          <w:i w:val="0"/>
          <w:color w:val="000000"/>
          <w:sz w:val="17"/>
        </w:rPr>
        <w:t>C. Recent Breakthroughs (2025-2026): In 2025, Zhang, Wang, and Christin [18] analyzed 71,000 QR phishing campaigns, confirming that quishing achieved click rates comparable to classical link phishing while evading 91.8% of SEGs. Martinez and Alvarez [19] investigated dual-modulated QR codes for physical authentication. Sharma, Singh, and Rastogi [20] combined DistilBERT, CNN-LSTM, and explainable AI, achieving 98.2% accuracy on text corpora. Nguyen, Tran, and Dubois [22] built stylometric transformers to detect generative AI phishing, while Al-Hubaishi, Mohammad, and Saeed [25] introduced a dual-path deep neural net for BEC header provenance. In 2025, Carle, Valenza, and Trevisan [26] confirmed that combining forward-confirmed reverse DNS with DoH was crucial for reliable automated gateway verification. Most recently in 2026, Park, Lee, and Kim [17] introduced QuishFormer, a vision transformer tailored for QR extraction; Roy, Das, and Chatterjee [21] presented E-PhishGEN to benchmark synthetic LLM campaigns; and Patel, Joshi, and Shah [24] demonstrated zero-trust threat intelligence integration at the gateway layer.</w:t>
      </w:r>
    </w:p>
    <w:p>
      <w:pPr>
        <w:spacing w:before="120" w:after="50" w:line="252" w:lineRule="auto"/>
        <w:jc w:val="center"/>
      </w:pPr>
      <w:r>
        <w:rPr>
          <w:rFonts w:ascii="Times New Roman" w:hAnsi="Times New Roman"/>
          <w:b/>
          <w:i w:val="0"/>
          <w:color w:val="000000"/>
          <w:sz w:val="16"/>
        </w:rPr>
        <w:t>TABLE I: Taxonomy of State-of-the-Art Phishing Detection Literature (2007-2026)</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Study / Reference</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Year</w:t>
            </w:r>
          </w:p>
        </w:tc>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Core Architecture / Algorithm</w:t>
            </w:r>
          </w:p>
        </w:tc>
        <w:tc>
          <w:tcPr>
            <w:tcW w:type="dxa" w:w="93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Input Modality</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Quishing?</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DoH DNS?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Fette et al. [2]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2007</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Naive Bayes &amp; Decision Trees (PILFER)</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Raw ASCII Text Tokens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Basnet et al. [4]</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2008</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Support Vector Machines (RBF Kernel)</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Handcrafted Lexical Vectors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Toolan &amp; Carthy [3]</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2010</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Random Forest (21 Selected Features)</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Structural Email Metadata</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Sharma et al. [20]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Hybrid DistilBERT + CNN-LSTM + XAI</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Contextual Text Embeddings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(12%)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Nguyen et al. [22]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Stylometric RoBERTa Transformer</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Deep Syntactic Embeddings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 (14%)</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Park et al. [17]</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QuishFormer Vision Transformer (ViT)</w:t>
            </w:r>
          </w:p>
        </w:tc>
        <w:tc>
          <w:tcPr>
            <w:tcW w:type="dxa" w:w="93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Visual Image Matrices</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Yes (97.2%)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No</w:t>
            </w:r>
          </w:p>
        </w:tc>
      </w:tr>
      <w:tr>
        <w:tc>
          <w:tcPr>
            <w:tcW w:type="dxa" w:w="1152"/>
            <w:tcMar>
              <w:top w:w="35" w:type="dxa"/>
              <w:bottom w:w="35" w:type="dxa"/>
              <w:left w:w="45" w:type="dxa"/>
              <w:right w:w="45" w:type="dxa"/>
            </w:tcMar>
            <w:shd w:fill="FEF3C7"/>
            <w:tcBorders>
              <w:bottom w:sz="8" w:val="single" w:color="000000"/>
            </w:tcBorders>
          </w:tcPr>
          <w:p>
            <w:pPr>
              <w:spacing w:before="30" w:after="30" w:line="240" w:lineRule="auto"/>
              <w:jc w:val="left"/>
            </w:pPr>
            <w:r>
              <w:rPr>
                <w:rFonts w:ascii="Times New Roman" w:hAnsi="Times New Roman"/>
                <w:b/>
                <w:i w:val="0"/>
                <w:color w:val="000000"/>
                <w:sz w:val="13"/>
              </w:rPr>
              <w:t>SecureMail (Ours)</w:t>
            </w:r>
          </w:p>
        </w:tc>
        <w:tc>
          <w:tcPr>
            <w:tcW w:type="dxa" w:w="504"/>
            <w:tcMar>
              <w:top w:w="35" w:type="dxa"/>
              <w:bottom w:w="35" w:type="dxa"/>
              <w:left w:w="45" w:type="dxa"/>
              <w:right w:w="45" w:type="dxa"/>
            </w:tcMar>
            <w:shd w:fill="FEF3C7"/>
            <w:tcBorders>
              <w:bottom w:sz="8" w:val="single" w:color="000000"/>
            </w:tcBorders>
          </w:tcPr>
          <w:p>
            <w:pPr>
              <w:spacing w:before="30" w:after="30" w:line="240" w:lineRule="auto"/>
              <w:jc w:val="center"/>
            </w:pPr>
            <w:r>
              <w:rPr>
                <w:rFonts w:ascii="Times New Roman" w:hAnsi="Times New Roman"/>
                <w:b/>
                <w:i w:val="0"/>
                <w:color w:val="000000"/>
                <w:sz w:val="13"/>
              </w:rPr>
              <w:t>2026</w:t>
            </w:r>
          </w:p>
        </w:tc>
        <w:tc>
          <w:tcPr>
            <w:tcW w:type="dxa" w:w="1224"/>
            <w:tcMar>
              <w:top w:w="35" w:type="dxa"/>
              <w:bottom w:w="35" w:type="dxa"/>
              <w:left w:w="45" w:type="dxa"/>
              <w:right w:w="45" w:type="dxa"/>
            </w:tcMar>
            <w:shd w:fill="FEF3C7"/>
            <w:tcBorders>
              <w:bottom w:sz="8" w:val="single" w:color="000000"/>
            </w:tcBorders>
          </w:tcPr>
          <w:p>
            <w:pPr>
              <w:spacing w:before="30" w:after="30" w:line="240" w:lineRule="auto"/>
              <w:jc w:val="left"/>
            </w:pPr>
            <w:r>
              <w:rPr>
                <w:rFonts w:ascii="Times New Roman" w:hAnsi="Times New Roman"/>
                <w:b/>
                <w:i w:val="0"/>
                <w:color w:val="000000"/>
                <w:sz w:val="13"/>
              </w:rPr>
              <w:t>Tri-Modal Hybrid (CV + DoH + Bayesian)</w:t>
            </w:r>
          </w:p>
        </w:tc>
        <w:tc>
          <w:tcPr>
            <w:tcW w:type="dxa" w:w="936"/>
            <w:tcMar>
              <w:top w:w="35" w:type="dxa"/>
              <w:bottom w:w="35" w:type="dxa"/>
              <w:left w:w="45" w:type="dxa"/>
              <w:right w:w="45" w:type="dxa"/>
            </w:tcMar>
            <w:shd w:fill="FEF3C7"/>
            <w:tcBorders>
              <w:bottom w:sz="8" w:val="single" w:color="000000"/>
            </w:tcBorders>
          </w:tcPr>
          <w:p>
            <w:pPr>
              <w:spacing w:before="30" w:after="30" w:line="240" w:lineRule="auto"/>
              <w:jc w:val="left"/>
            </w:pPr>
            <w:r>
              <w:rPr>
                <w:rFonts w:ascii="Times New Roman" w:hAnsi="Times New Roman"/>
                <w:b/>
                <w:i w:val="0"/>
                <w:color w:val="000000"/>
                <w:sz w:val="13"/>
              </w:rPr>
              <w:t>Text + QR Vision + DNS Provenance</w:t>
            </w:r>
          </w:p>
        </w:tc>
        <w:tc>
          <w:tcPr>
            <w:tcW w:type="dxa" w:w="504"/>
            <w:tcMar>
              <w:top w:w="35" w:type="dxa"/>
              <w:bottom w:w="35" w:type="dxa"/>
              <w:left w:w="45" w:type="dxa"/>
              <w:right w:w="45" w:type="dxa"/>
            </w:tcMar>
            <w:shd w:fill="FEF3C7"/>
            <w:tcBorders>
              <w:bottom w:sz="8" w:val="single" w:color="000000"/>
            </w:tcBorders>
          </w:tcPr>
          <w:p>
            <w:pPr>
              <w:spacing w:before="30" w:after="30" w:line="240" w:lineRule="auto"/>
              <w:jc w:val="center"/>
            </w:pPr>
            <w:r>
              <w:rPr>
                <w:rFonts w:ascii="Times New Roman" w:hAnsi="Times New Roman"/>
                <w:b/>
                <w:i w:val="0"/>
                <w:color w:val="000000"/>
                <w:sz w:val="13"/>
              </w:rPr>
              <w:t>Yes (98.4%)</w:t>
            </w:r>
          </w:p>
        </w:tc>
        <w:tc>
          <w:tcPr>
            <w:tcW w:type="dxa" w:w="504"/>
            <w:tcMar>
              <w:top w:w="35" w:type="dxa"/>
              <w:bottom w:w="35" w:type="dxa"/>
              <w:left w:w="45" w:type="dxa"/>
              <w:right w:w="45" w:type="dxa"/>
            </w:tcMar>
            <w:shd w:fill="FEF3C7"/>
            <w:tcBorders>
              <w:bottom w:sz="8" w:val="single" w:color="000000"/>
            </w:tcBorders>
          </w:tcPr>
          <w:p>
            <w:pPr>
              <w:spacing w:before="30" w:after="30" w:line="240" w:lineRule="auto"/>
              <w:jc w:val="center"/>
            </w:pPr>
            <w:r>
              <w:rPr>
                <w:rFonts w:ascii="Times New Roman" w:hAnsi="Times New Roman"/>
                <w:b/>
                <w:i w:val="0"/>
                <w:color w:val="000000"/>
                <w:sz w:val="13"/>
              </w:rPr>
              <w:t>Yes (DoH)</w:t>
            </w:r>
          </w:p>
        </w:tc>
      </w:tr>
    </w:tbl>
    <w:p>
      <w:pPr>
        <w:spacing w:before="0" w:after="60" w:line="252" w:lineRule="auto"/>
        <w:jc w:val="both"/>
      </w:pPr>
      <w:r>
        <w:rPr>
          <w:rFonts w:ascii="Times New Roman" w:hAnsi="Times New Roman"/>
          <w:b w:val="0"/>
          <w:i w:val="0"/>
          <w:color w:val="000000"/>
          <w:sz w:val="17"/>
        </w:rPr>
        <w:t>Table I highlights the central architectural divide in literature: prior works either focused purely on text tokens while ignoring visual quishing, or proposed heavy vision networks that omitted cryptographic header validation. SecureMail is the first architecture to harmonize all three modalities into a single, low-latency client-edge system.</w:t>
      </w:r>
    </w:p>
    <w:p>
      <w:pPr>
        <w:spacing w:before="160" w:after="50" w:line="252" w:lineRule="auto"/>
        <w:jc w:val="left"/>
      </w:pPr>
      <w:r>
        <w:rPr>
          <w:rFonts w:ascii="Times New Roman" w:hAnsi="Times New Roman"/>
          <w:b/>
          <w:i w:val="0"/>
          <w:color w:val="000000"/>
          <w:sz w:val="19"/>
        </w:rPr>
        <w:t>V. PROPOSED SECUREMAIL SYSTEM ARCHITECTURE</w:t>
      </w:r>
    </w:p>
    <w:p>
      <w:pPr>
        <w:spacing w:before="0" w:after="60" w:line="252" w:lineRule="auto"/>
        <w:jc w:val="both"/>
      </w:pPr>
      <w:r>
        <w:rPr>
          <w:rFonts w:ascii="Times New Roman" w:hAnsi="Times New Roman"/>
          <w:b w:val="0"/>
          <w:i w:val="0"/>
          <w:color w:val="000000"/>
          <w:sz w:val="17"/>
        </w:rPr>
        <w:t>SecureMail organizes its defense into four loosely coupled tiers: (1) Client-Edge Layer, operating an event-driven Manifest V3 extension with MutationObserver hooks inside Gmail and Outlook Web; (2) Security Gateway Layer, written in Python 3.10+ using FastAPI and an asynchronous Uvicorn ASGI server; (3) Analysis Engine Layer, coordinating concurrent workers for DoH queries, OpenCV QR decoding, Levenshtein distance, and Threat Vault caching; and (4) Persistence &amp; Audit Layer, logging cryptographically signed SQLite records, enforcing volatile memory boundaries, and generating ISO/IEC 27001 aligned forensic PDF reports.</w:t>
      </w:r>
    </w:p>
    <w:p>
      <w:pPr>
        <w:spacing w:before="100" w:after="40"/>
        <w:jc w:val="center"/>
      </w:pPr>
      <w:r>
        <w:drawing>
          <wp:inline xmlns:a="http://schemas.openxmlformats.org/drawingml/2006/main" xmlns:pic="http://schemas.openxmlformats.org/drawingml/2006/picture">
            <wp:extent cx="3063240" cy="1885071"/>
            <wp:docPr id="2" name="Picture 2"/>
            <wp:cNvGraphicFramePr>
              <a:graphicFrameLocks noChangeAspect="1"/>
            </wp:cNvGraphicFramePr>
            <a:graphic>
              <a:graphicData uri="http://schemas.openxmlformats.org/drawingml/2006/picture">
                <pic:pic>
                  <pic:nvPicPr>
                    <pic:cNvPr id="0" name="fig5_trust_boundary.png"/>
                    <pic:cNvPicPr/>
                  </pic:nvPicPr>
                  <pic:blipFill>
                    <a:blip r:embed="rId10"/>
                    <a:stretch>
                      <a:fillRect/>
                    </a:stretch>
                  </pic:blipFill>
                  <pic:spPr>
                    <a:xfrm>
                      <a:off x="0" y="0"/>
                      <a:ext cx="3063240" cy="188507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2. Secure Extension-to-Gateway Trust Separation and Volatile Memory Boundary.</w:t>
      </w:r>
    </w:p>
    <w:p>
      <w:pPr>
        <w:spacing w:before="0" w:after="60" w:line="252" w:lineRule="auto"/>
        <w:jc w:val="both"/>
      </w:pPr>
      <w:r>
        <w:rPr>
          <w:rFonts w:ascii="Times New Roman" w:hAnsi="Times New Roman"/>
          <w:b w:val="0"/>
          <w:i w:val="0"/>
          <w:color w:val="000000"/>
          <w:sz w:val="17"/>
        </w:rPr>
        <w:t>Fig. 2 illustrates our extension-to-gateway trust separation and memory lifecycle. By isolating DOM parsing within the browser sandbox and streaming ephemeral JSON payloads over mutual TLS to FastAPI, SecureMail prevents session token leakage while ensuring raw message bodies are purged from RAM immediately after feature scoring.</w:t>
      </w:r>
    </w:p>
    <w:p>
      <w:pPr>
        <w:spacing w:before="120" w:after="50" w:line="252" w:lineRule="auto"/>
        <w:jc w:val="center"/>
      </w:pPr>
      <w:r>
        <w:rPr>
          <w:rFonts w:ascii="Times New Roman" w:hAnsi="Times New Roman"/>
          <w:b/>
          <w:i w:val="0"/>
          <w:color w:val="000000"/>
          <w:sz w:val="16"/>
        </w:rPr>
        <w:t>TABLE II: Documented Technology Stack and Component Allocation</w:t>
      </w:r>
    </w:p>
    <w:tbl>
      <w:tblPr>
        <w:tblW w:type="auto" w:w="0"/>
        <w:jc w:val="center"/>
        <w:tblLook w:firstColumn="1" w:firstRow="1" w:lastColumn="0" w:lastRow="0" w:noHBand="0" w:noVBand="1" w:val="04A0"/>
      </w:tblPr>
      <w:tblGrid>
        <w:gridCol w:w="3456"/>
        <w:gridCol w:w="3456"/>
        <w:gridCol w:w="3456"/>
      </w:tblGrid>
      <w:tr>
        <w:tc>
          <w:tcPr>
            <w:tcW w:type="dxa" w:w="144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Subsystem / Layer</w:t>
            </w:r>
          </w:p>
        </w:tc>
        <w:tc>
          <w:tcPr>
            <w:tcW w:type="dxa" w:w="158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Technology Component</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Engineering Justification &amp; Performance Standard</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Client-Edge Extension</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Chrome Manifest V3 / WebExtensions</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Zero persistent email storage, non-intrusive DOM extraction (&lt;15 ms)</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REST API Gateway</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FastAPI / Uvicorn ASGI / Python 3.10+</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Asynchronous non-blocking concurrency, Pydantic data validation</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Machine Learning Engine</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Scikit-Learn / TF-IDF Vectorizer</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Local lightweight inference (&lt;15 ms), zero third-party token leakage</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Computer Vision Pipeline</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OpenCV 4.8 / NumPy / pyzbar</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Adaptive thresholding and morphological dilation for QR detonation</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Cryptographic DNS Layer</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httpx / Cloudflare &amp; Google DoH</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Asynchronous RFC 8484 DNS-over-HTTPS resolution over TLS 1.3</w:t>
            </w:r>
          </w:p>
        </w:tc>
      </w:tr>
      <w:tr>
        <w:tc>
          <w:tcPr>
            <w:tcW w:type="dxa" w:w="144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Threat Intelligence Vault</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VirusTotal v3 REST API / SQLite</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Multi-engine sandbox detonation (87+ scanners) for Tier 2 Deep Scan</w:t>
            </w:r>
          </w:p>
        </w:tc>
      </w:tr>
      <w:tr>
        <w:tc>
          <w:tcPr>
            <w:tcW w:type="dxa" w:w="144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Audit &amp; Forensics Engine</w:t>
            </w:r>
          </w:p>
        </w:tc>
        <w:tc>
          <w:tcPr>
            <w:tcW w:type="dxa" w:w="158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ReportLab / PyCryptodome (AES-256)</w:t>
            </w:r>
          </w:p>
        </w:tc>
        <w:tc>
          <w:tcPr>
            <w:tcW w:type="dxa" w:w="180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Cryptographically signed tamper-evident digital forensic reports</w:t>
            </w:r>
          </w:p>
        </w:tc>
      </w:tr>
    </w:tbl>
    <w:p>
      <w:pPr>
        <w:spacing w:before="0" w:after="60" w:line="252" w:lineRule="auto"/>
        <w:jc w:val="both"/>
      </w:pPr>
      <w:r>
        <w:rPr>
          <w:rFonts w:ascii="Times New Roman" w:hAnsi="Times New Roman"/>
          <w:b w:val="0"/>
          <w:i w:val="0"/>
          <w:color w:val="000000"/>
          <w:sz w:val="17"/>
        </w:rPr>
        <w:t>Table II outlines the engineering rationale behind our component choices, balancing strict zero-trust privacy boundaries with a median client-edge execution latency under 110 ms.</w:t>
      </w:r>
    </w:p>
    <w:p>
      <w:pPr>
        <w:spacing w:before="160" w:after="50" w:line="252" w:lineRule="auto"/>
        <w:jc w:val="left"/>
      </w:pPr>
      <w:r>
        <w:rPr>
          <w:rFonts w:ascii="Times New Roman" w:hAnsi="Times New Roman"/>
          <w:b/>
          <w:i w:val="0"/>
          <w:color w:val="000000"/>
          <w:sz w:val="19"/>
        </w:rPr>
        <w:t>VI. MULTIMODAL DETECTION METHODOLOGY &amp; FEATURE ENGINEERING</w:t>
      </w:r>
    </w:p>
    <w:p>
      <w:pPr>
        <w:spacing w:before="0" w:after="60" w:line="252" w:lineRule="auto"/>
        <w:jc w:val="both"/>
      </w:pPr>
      <w:r>
        <w:rPr>
          <w:rFonts w:ascii="Times New Roman" w:hAnsi="Times New Roman"/>
          <w:b w:val="0"/>
          <w:i w:val="0"/>
          <w:color w:val="000000"/>
          <w:sz w:val="17"/>
        </w:rPr>
        <w:t>Our detection pipeline processes inbound emails across three concurrent, synchronized inspection tracks: 1) Stylometric &amp; NLP Track: The engine sanitizes text extracted from DOM nodes, extracting unigram and bigram TF-IDF weights, URL Shannon entropy, punctuation density, and urgency token frequencies to produce preliminary risk estimate P_nlp.</w:t>
      </w:r>
    </w:p>
    <w:p>
      <w:pPr>
        <w:spacing w:before="100" w:after="40"/>
        <w:jc w:val="center"/>
      </w:pPr>
      <w:r>
        <w:drawing>
          <wp:inline xmlns:a="http://schemas.openxmlformats.org/drawingml/2006/main" xmlns:pic="http://schemas.openxmlformats.org/drawingml/2006/picture">
            <wp:extent cx="3063240" cy="4667794"/>
            <wp:docPr id="3" name="Picture 3"/>
            <wp:cNvGraphicFramePr>
              <a:graphicFrameLocks noChangeAspect="1"/>
            </wp:cNvGraphicFramePr>
            <a:graphic>
              <a:graphicData uri="http://schemas.openxmlformats.org/drawingml/2006/picture">
                <pic:pic>
                  <pic:nvPicPr>
                    <pic:cNvPr id="0" name="fig6_quishing_flow.png"/>
                    <pic:cNvPicPr/>
                  </pic:nvPicPr>
                  <pic:blipFill>
                    <a:blip r:embed="rId11"/>
                    <a:stretch>
                      <a:fillRect/>
                    </a:stretch>
                  </pic:blipFill>
                  <pic:spPr>
                    <a:xfrm>
                      <a:off x="0" y="0"/>
                      <a:ext cx="3063240" cy="466779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3. Optical Quishing (QR Code) Inspection and Payload Decoding Flow.</w:t>
      </w:r>
    </w:p>
    <w:p>
      <w:pPr>
        <w:spacing w:before="0" w:after="60" w:line="252" w:lineRule="auto"/>
        <w:jc w:val="both"/>
      </w:pPr>
      <w:r>
        <w:rPr>
          <w:rFonts w:ascii="Times New Roman" w:hAnsi="Times New Roman"/>
          <w:b w:val="0"/>
          <w:i w:val="0"/>
          <w:color w:val="000000"/>
          <w:sz w:val="17"/>
        </w:rPr>
        <w:t>Fig. 3 illustrates our 4-stage computer vision detonation workflow. When incoming messages contain embedded images or inline attachments, OpenCV applies bilateral filtering and Otsu thresholding to reconstruct degraded QR matrices, allowing pyzbar to decode payload URIs with 98.4% recall.</w:t>
      </w:r>
    </w:p>
    <w:p>
      <w:pPr>
        <w:spacing w:before="100" w:after="40"/>
        <w:jc w:val="center"/>
      </w:pPr>
      <w:r>
        <w:drawing>
          <wp:inline xmlns:a="http://schemas.openxmlformats.org/drawingml/2006/main" xmlns:pic="http://schemas.openxmlformats.org/drawingml/2006/picture">
            <wp:extent cx="3063240" cy="4959531"/>
            <wp:docPr id="4" name="Picture 4"/>
            <wp:cNvGraphicFramePr>
              <a:graphicFrameLocks noChangeAspect="1"/>
            </wp:cNvGraphicFramePr>
            <a:graphic>
              <a:graphicData uri="http://schemas.openxmlformats.org/drawingml/2006/picture">
                <pic:pic>
                  <pic:nvPicPr>
                    <pic:cNvPr id="0" name="fig3_e2e_flow.png"/>
                    <pic:cNvPicPr/>
                  </pic:nvPicPr>
                  <pic:blipFill>
                    <a:blip r:embed="rId12"/>
                    <a:stretch>
                      <a:fillRect/>
                    </a:stretch>
                  </pic:blipFill>
                  <pic:spPr>
                    <a:xfrm>
                      <a:off x="0" y="0"/>
                      <a:ext cx="3063240" cy="4959531"/>
                    </a:xfrm>
                    <a:prstGeom prst="rect"/>
                  </pic:spPr>
                </pic:pic>
              </a:graphicData>
            </a:graphic>
          </wp:inline>
        </w:drawing>
      </w:r>
    </w:p>
    <w:p>
      <w:pPr>
        <w:spacing w:before="50" w:after="100" w:line="252" w:lineRule="auto"/>
        <w:jc w:val="center"/>
      </w:pPr>
      <w:r>
        <w:rPr>
          <w:rFonts w:ascii="Times New Roman" w:hAnsi="Times New Roman"/>
          <w:b w:val="0"/>
          <w:i/>
          <w:color w:val="000000"/>
          <w:sz w:val="15"/>
        </w:rPr>
        <w:t>Fig. 4. End-to-End Threat Detection and Forensic Ingestion Flow.</w:t>
      </w:r>
    </w:p>
    <w:p>
      <w:pPr>
        <w:spacing w:before="0" w:after="60" w:line="252" w:lineRule="auto"/>
        <w:jc w:val="both"/>
      </w:pPr>
      <w:r>
        <w:rPr>
          <w:rFonts w:ascii="Times New Roman" w:hAnsi="Times New Roman"/>
          <w:b w:val="0"/>
          <w:i w:val="0"/>
          <w:color w:val="000000"/>
          <w:sz w:val="17"/>
        </w:rPr>
        <w:t>Fig. 4 tracks our end-to-end asynchronous processing pipeline, illustrating how telemetry moves from client DOM capture through parallel worker evaluation, Bayesian fusion, and automated PDF forensic reporting.</w:t>
      </w:r>
    </w:p>
    <w:p>
      <w:pPr>
        <w:spacing w:before="100" w:after="40"/>
        <w:jc w:val="center"/>
      </w:pPr>
      <w:r>
        <w:drawing>
          <wp:inline xmlns:a="http://schemas.openxmlformats.org/drawingml/2006/main" xmlns:pic="http://schemas.openxmlformats.org/drawingml/2006/picture">
            <wp:extent cx="3063240" cy="4521926"/>
            <wp:docPr id="5" name="Picture 5"/>
            <wp:cNvGraphicFramePr>
              <a:graphicFrameLocks noChangeAspect="1"/>
            </wp:cNvGraphicFramePr>
            <a:graphic>
              <a:graphicData uri="http://schemas.openxmlformats.org/drawingml/2006/picture">
                <pic:pic>
                  <pic:nvPicPr>
                    <pic:cNvPr id="0" name="fig4_doh_flow.png"/>
                    <pic:cNvPicPr/>
                  </pic:nvPicPr>
                  <pic:blipFill>
                    <a:blip r:embed="rId13"/>
                    <a:stretch>
                      <a:fillRect/>
                    </a:stretch>
                  </pic:blipFill>
                  <pic:spPr>
                    <a:xfrm>
                      <a:off x="0" y="0"/>
                      <a:ext cx="3063240" cy="452192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5. Real-Time DNS-over-HTTPS (DoH) Authentication Verification Flow.</w:t>
      </w:r>
    </w:p>
    <w:p>
      <w:pPr>
        <w:spacing w:before="0" w:after="60" w:line="252" w:lineRule="auto"/>
        <w:jc w:val="both"/>
      </w:pPr>
      <w:r>
        <w:rPr>
          <w:rFonts w:ascii="Times New Roman" w:hAnsi="Times New Roman"/>
          <w:b w:val="0"/>
          <w:i w:val="0"/>
          <w:color w:val="000000"/>
          <w:sz w:val="17"/>
        </w:rPr>
        <w:t>Fig. 5 details the real-time DoH verification sequence. Asynchronous TLS 1.3 queries [11] to Cloudflare and Google DoH endpoints [7] validate SPF [12], DKIM [13], and DMARC [14] alignment, as well as intermediate ARC hops [15], triggering the Authentic Sender Discount (D_auth = 0.22) to suppress urgency false alarms.</w:t>
      </w:r>
    </w:p>
    <w:p>
      <w:pPr>
        <w:spacing w:before="100" w:after="40"/>
        <w:jc w:val="center"/>
      </w:pPr>
      <w:r>
        <w:drawing>
          <wp:inline xmlns:a="http://schemas.openxmlformats.org/drawingml/2006/main" xmlns:pic="http://schemas.openxmlformats.org/drawingml/2006/picture">
            <wp:extent cx="3063240" cy="4521926"/>
            <wp:docPr id="6" name="Picture 6"/>
            <wp:cNvGraphicFramePr>
              <a:graphicFrameLocks noChangeAspect="1"/>
            </wp:cNvGraphicFramePr>
            <a:graphic>
              <a:graphicData uri="http://schemas.openxmlformats.org/drawingml/2006/picture">
                <pic:pic>
                  <pic:nvPicPr>
                    <pic:cNvPr id="0" name="fig7_security_pipeline.png"/>
                    <pic:cNvPicPr/>
                  </pic:nvPicPr>
                  <pic:blipFill>
                    <a:blip r:embed="rId14"/>
                    <a:stretch>
                      <a:fillRect/>
                    </a:stretch>
                  </pic:blipFill>
                  <pic:spPr>
                    <a:xfrm>
                      <a:off x="0" y="0"/>
                      <a:ext cx="3063240" cy="452192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6. Multi-Layer Security Hardening and Vulnerability Assessment Pipeline.</w:t>
      </w:r>
    </w:p>
    <w:p>
      <w:pPr>
        <w:spacing w:before="0" w:after="60" w:line="252" w:lineRule="auto"/>
        <w:jc w:val="both"/>
      </w:pPr>
      <w:r>
        <w:rPr>
          <w:rFonts w:ascii="Times New Roman" w:hAnsi="Times New Roman"/>
          <w:b w:val="0"/>
          <w:i w:val="0"/>
          <w:color w:val="000000"/>
          <w:sz w:val="17"/>
        </w:rPr>
        <w:t>Fig. 6 details the multi-layer security hardening and vulnerability assessment pipeline, enforcing strict Content Security Policies (CSP), CORS controls, and volatile memory scrubbing to eliminate attack surfaces on the gateway itself.</w:t>
      </w:r>
    </w:p>
    <w:p>
      <w:pPr>
        <w:spacing w:before="100" w:after="40"/>
        <w:jc w:val="center"/>
      </w:pPr>
      <w:r>
        <w:drawing>
          <wp:inline xmlns:a="http://schemas.openxmlformats.org/drawingml/2006/main" xmlns:pic="http://schemas.openxmlformats.org/drawingml/2006/picture">
            <wp:extent cx="3063240" cy="4376057"/>
            <wp:docPr id="7" name="Picture 7"/>
            <wp:cNvGraphicFramePr>
              <a:graphicFrameLocks noChangeAspect="1"/>
            </wp:cNvGraphicFramePr>
            <a:graphic>
              <a:graphicData uri="http://schemas.openxmlformats.org/drawingml/2006/picture">
                <pic:pic>
                  <pic:nvPicPr>
                    <pic:cNvPr id="0" name="fig8_regression_lifecycle.png"/>
                    <pic:cNvPicPr/>
                  </pic:nvPicPr>
                  <pic:blipFill>
                    <a:blip r:embed="rId15"/>
                    <a:stretch>
                      <a:fillRect/>
                    </a:stretch>
                  </pic:blipFill>
                  <pic:spPr>
                    <a:xfrm>
                      <a:off x="0" y="0"/>
                      <a:ext cx="3063240" cy="4376057"/>
                    </a:xfrm>
                    <a:prstGeom prst="rect"/>
                  </pic:spPr>
                </pic:pic>
              </a:graphicData>
            </a:graphic>
          </wp:inline>
        </w:drawing>
      </w:r>
    </w:p>
    <w:p>
      <w:pPr>
        <w:spacing w:before="50" w:after="100" w:line="252" w:lineRule="auto"/>
        <w:jc w:val="center"/>
      </w:pPr>
      <w:r>
        <w:rPr>
          <w:rFonts w:ascii="Times New Roman" w:hAnsi="Times New Roman"/>
          <w:b w:val="0"/>
          <w:i/>
          <w:color w:val="000000"/>
          <w:sz w:val="15"/>
        </w:rPr>
        <w:t>Fig. 7. Regression Testing Lifecycle and Webmail DOM Evolution Harness.</w:t>
      </w:r>
    </w:p>
    <w:p>
      <w:pPr>
        <w:spacing w:before="0" w:after="60" w:line="252" w:lineRule="auto"/>
        <w:jc w:val="both"/>
      </w:pPr>
      <w:r>
        <w:rPr>
          <w:rFonts w:ascii="Times New Roman" w:hAnsi="Times New Roman"/>
          <w:b w:val="0"/>
          <w:i w:val="0"/>
          <w:color w:val="000000"/>
          <w:sz w:val="17"/>
        </w:rPr>
        <w:t>Fig. 7 outlines the regression testing lifecycle and webmail DOM evolution harness, ensuring resilient selector parsing against dynamic DOM mutations introduced by webmail service updates.</w:t>
      </w:r>
    </w:p>
    <w:p>
      <w:pPr>
        <w:spacing w:before="160" w:after="50" w:line="252" w:lineRule="auto"/>
        <w:jc w:val="left"/>
      </w:pPr>
      <w:r>
        <w:rPr>
          <w:rFonts w:ascii="Times New Roman" w:hAnsi="Times New Roman"/>
          <w:b/>
          <w:i w:val="0"/>
          <w:color w:val="000000"/>
          <w:sz w:val="19"/>
        </w:rPr>
        <w:t>VII. EXPERIMENTAL SETUP, BENCHMARK DATASETS &amp; HARDWARE HARNESS</w:t>
      </w:r>
    </w:p>
    <w:p>
      <w:pPr>
        <w:spacing w:before="0" w:after="60" w:line="252" w:lineRule="auto"/>
        <w:jc w:val="both"/>
      </w:pPr>
      <w:r>
        <w:rPr>
          <w:rFonts w:ascii="Times New Roman" w:hAnsi="Times New Roman"/>
          <w:b w:val="0"/>
          <w:i w:val="0"/>
          <w:color w:val="000000"/>
          <w:sz w:val="17"/>
        </w:rPr>
        <w:t>All evaluations were conducted on an AMD Ryzen 7 5800H system (8 cores, 16 threads @ 3.2 GHz) with 32 GB DDR4 RAM, running across Windows 11 and Ubuntu 22.04 LTS environments to ensure reproducible execution.</w:t>
      </w:r>
    </w:p>
    <w:p>
      <w:pPr>
        <w:spacing w:before="120" w:after="50" w:line="252" w:lineRule="auto"/>
        <w:jc w:val="center"/>
      </w:pPr>
      <w:r>
        <w:rPr>
          <w:rFonts w:ascii="Times New Roman" w:hAnsi="Times New Roman"/>
          <w:b/>
          <w:i w:val="0"/>
          <w:color w:val="000000"/>
          <w:sz w:val="16"/>
        </w:rPr>
        <w:t>TABLE III: Benchmark Datasets Characteristics and Modality Distribution</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Dataset Name</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Source / Provider</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Samples</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Benign</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Phishing</w:t>
            </w:r>
          </w:p>
        </w:tc>
        <w:tc>
          <w:tcPr>
            <w:tcW w:type="dxa" w:w="108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Primary Threat Modality</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Corpus [5]</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Jose Nazario</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4,500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4,500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Classical Link &amp; Credential Phishing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Enron Corpus [27]</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CMU / FERC</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Clean Corporate Institutional Mail</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PhishTank Feed</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OpenDNS / Cisco</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Zero-Hour Verified Malicious URLs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SpamAssassin</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Apache Foundation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6,000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4,150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1,850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Heuristic Spam &amp; Lexical Phishing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IWSPA Task</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ACM IWSPA</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2,800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Targeted Spear-Phishing Pretexting</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Custom Quishing</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Empirical (2024-26)</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Visual Optical QR Code Payloads</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IDN Homoglyph [28]</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Unicode TR #39</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500</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Cyrillic/Greek Lookalike Domains</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Generative AI</w:t>
            </w:r>
          </w:p>
        </w:tc>
        <w:tc>
          <w:tcPr>
            <w:tcW w:type="dxa" w:w="86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Synthesized (LLM)</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1,000</w:t>
            </w:r>
          </w:p>
        </w:tc>
        <w:tc>
          <w:tcPr>
            <w:tcW w:type="dxa" w:w="108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LLM Contextual Spear-Phishing</w:t>
            </w:r>
          </w:p>
        </w:tc>
      </w:tr>
    </w:tbl>
    <w:p>
      <w:pPr>
        <w:spacing w:before="0" w:after="60" w:line="252" w:lineRule="auto"/>
        <w:jc w:val="both"/>
      </w:pPr>
      <w:r>
        <w:rPr>
          <w:rFonts w:ascii="Times New Roman" w:hAnsi="Times New Roman"/>
          <w:b w:val="0"/>
          <w:i w:val="0"/>
          <w:color w:val="000000"/>
          <w:sz w:val="17"/>
        </w:rPr>
        <w:t>Table III summarizes the characteristics and sample distributions of our 8 benchmark datasets, incorporating legitimate corporate communications from the Enron corpus [27] alongside internationalized spoofing sets categorized under Unicode TR #39 [28]. From this master corpus, a stratified evaluation partition of 5,000 samples was drawn: 3,500 samples (70%) for training, 500 samples (10%) for validation, and 1,500 samples (20%) held out as a strictly unseen benchmark test partition.</w:t>
      </w:r>
    </w:p>
    <w:p>
      <w:pPr>
        <w:spacing w:before="120" w:after="50" w:line="252" w:lineRule="auto"/>
        <w:jc w:val="center"/>
      </w:pPr>
      <w:r>
        <w:rPr>
          <w:rFonts w:ascii="Times New Roman" w:hAnsi="Times New Roman"/>
          <w:b/>
          <w:i w:val="0"/>
          <w:color w:val="000000"/>
          <w:sz w:val="16"/>
        </w:rPr>
        <w:t>TABLE IV: Mathematical Feature Formulations and Information-Theoretic Parameters</w:t>
      </w:r>
    </w:p>
    <w:tbl>
      <w:tblPr>
        <w:tblW w:type="auto" w:w="0"/>
        <w:jc w:val="center"/>
        <w:tblLook w:firstColumn="1" w:firstRow="1" w:lastColumn="0" w:lastRow="0" w:noHBand="0" w:noVBand="1" w:val="04A0"/>
      </w:tblPr>
      <w:tblGrid>
        <w:gridCol w:w="3456"/>
        <w:gridCol w:w="3456"/>
        <w:gridCol w:w="3456"/>
      </w:tblGrid>
      <w:tr>
        <w:tc>
          <w:tcPr>
            <w:tcW w:type="dxa" w:w="129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Feature Identifier</w:t>
            </w:r>
          </w:p>
        </w:tc>
        <w:tc>
          <w:tcPr>
            <w:tcW w:type="dxa" w:w="158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Mathematical Formulation</w:t>
            </w:r>
          </w:p>
        </w:tc>
        <w:tc>
          <w:tcPr>
            <w:tcW w:type="dxa" w:w="194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Detection Purpose &amp; Parameter Bounds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Shannon Entropy H(S)</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H(S) = - sum p(c_i) log_2 p(c_i)</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Detects randomized URL strings and DGA domains (Threshold: &gt;4.25)</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Levenshtein Sim</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Sim_Lev = 1 - Lev / max_len</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Identifies brand homoglyphs and punycode masquerading (Threshold: &gt;=0.85)</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Otsu Binarization</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sigma_B^2 = max [ w_0 w_1 (u_0 - u_1)^2 ]</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Maximizes contrast between QR finder patterns and background noise</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Bilateral Filter</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I_filt = (1/W_p) sum I f_r g_s</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Smooths gradient artifacts while preserving critical module borders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Authentic Discount</w:t>
            </w:r>
          </w:p>
        </w:tc>
        <w:tc>
          <w:tcPr>
            <w:tcW w:type="dxa" w:w="158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D_auth = 0.22 * I(DMARC ∧ DKIM)</w:t>
            </w:r>
          </w:p>
        </w:tc>
        <w:tc>
          <w:tcPr>
            <w:tcW w:type="dxa" w:w="194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Neutralizes urgency score on cryptographically proven sender domains</w:t>
            </w:r>
          </w:p>
        </w:tc>
      </w:tr>
      <w:tr>
        <w:tc>
          <w:tcPr>
            <w:tcW w:type="dxa" w:w="129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Fused Probability</w:t>
            </w:r>
          </w:p>
        </w:tc>
        <w:tc>
          <w:tcPr>
            <w:tcW w:type="dxa" w:w="158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P_fused = 1 - (1 - P_nlp)(1 - P_quish)</w:t>
            </w:r>
          </w:p>
        </w:tc>
        <w:tc>
          <w:tcPr>
            <w:tcW w:type="dxa" w:w="194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Combines orthogonal textual and visual risk indicators into joint posterior</w:t>
            </w:r>
          </w:p>
        </w:tc>
      </w:tr>
    </w:tbl>
    <w:p>
      <w:pPr>
        <w:spacing w:before="0" w:after="60" w:line="252" w:lineRule="auto"/>
        <w:jc w:val="both"/>
      </w:pPr>
      <w:r>
        <w:rPr>
          <w:rFonts w:ascii="Times New Roman" w:hAnsi="Times New Roman"/>
          <w:b w:val="0"/>
          <w:i w:val="0"/>
          <w:color w:val="000000"/>
          <w:sz w:val="17"/>
        </w:rPr>
        <w:t>The mathematical feature formulations, bounds, and detection purposes are summarized in Table IV, establishing the quantitative inputs for our Bayesian inference engine.</w:t>
      </w:r>
    </w:p>
    <w:p>
      <w:pPr>
        <w:spacing w:before="160" w:after="50" w:line="252" w:lineRule="auto"/>
        <w:jc w:val="left"/>
      </w:pPr>
      <w:r>
        <w:rPr>
          <w:rFonts w:ascii="Times New Roman" w:hAnsi="Times New Roman"/>
          <w:b/>
          <w:i w:val="0"/>
          <w:color w:val="000000"/>
          <w:sz w:val="19"/>
        </w:rPr>
        <w:t>VIII. SYSTEM VERIFICATION &amp; AUTOMATED QUALITY ASSURANCE EVIDENCE</w:t>
      </w:r>
    </w:p>
    <w:p>
      <w:pPr>
        <w:spacing w:before="0" w:after="60" w:line="252" w:lineRule="auto"/>
        <w:jc w:val="both"/>
      </w:pPr>
      <w:r>
        <w:rPr>
          <w:rFonts w:ascii="Times New Roman" w:hAnsi="Times New Roman"/>
          <w:b w:val="0"/>
          <w:i w:val="0"/>
          <w:color w:val="000000"/>
          <w:sz w:val="17"/>
        </w:rPr>
        <w:t>Before running benchmark evaluations, we validated the entire SecureMail codebase through 123 automated test suites across eight operational domains.</w:t>
      </w:r>
    </w:p>
    <w:p>
      <w:pPr>
        <w:spacing w:before="100" w:after="40"/>
        <w:jc w:val="center"/>
      </w:pPr>
      <w:r>
        <w:drawing>
          <wp:inline xmlns:a="http://schemas.openxmlformats.org/drawingml/2006/main" xmlns:pic="http://schemas.openxmlformats.org/drawingml/2006/picture">
            <wp:extent cx="3063240" cy="1982096"/>
            <wp:docPr id="8" name="Picture 8"/>
            <wp:cNvGraphicFramePr>
              <a:graphicFrameLocks noChangeAspect="1"/>
            </wp:cNvGraphicFramePr>
            <a:graphic>
              <a:graphicData uri="http://schemas.openxmlformats.org/drawingml/2006/picture">
                <pic:pic>
                  <pic:nvPicPr>
                    <pic:cNvPr id="0" name="fig1_testing_architecture.png"/>
                    <pic:cNvPicPr/>
                  </pic:nvPicPr>
                  <pic:blipFill>
                    <a:blip r:embed="rId16"/>
                    <a:stretch>
                      <a:fillRect/>
                    </a:stretch>
                  </pic:blipFill>
                  <pic:spPr>
                    <a:xfrm>
                      <a:off x="0" y="0"/>
                      <a:ext cx="3063240" cy="198209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8. SecureMail System Testing Architecture and Multi-Layer Operational Verification Boundaries.</w:t>
      </w:r>
    </w:p>
    <w:p>
      <w:pPr>
        <w:spacing w:before="0" w:after="60" w:line="252" w:lineRule="auto"/>
        <w:jc w:val="both"/>
      </w:pPr>
      <w:r>
        <w:rPr>
          <w:rFonts w:ascii="Times New Roman" w:hAnsi="Times New Roman"/>
          <w:b w:val="0"/>
          <w:i w:val="0"/>
          <w:color w:val="000000"/>
          <w:sz w:val="17"/>
        </w:rPr>
        <w:t>Fig. 8 visualizes the system testing architecture and multi-layer operational verification boundaries, orchestrating our 123 automated test suites across unit, integration, computer vision, DoH resolver, and security layers.</w:t>
      </w:r>
    </w:p>
    <w:p>
      <w:pPr>
        <w:spacing w:before="120" w:after="50" w:line="252" w:lineRule="auto"/>
        <w:jc w:val="center"/>
      </w:pPr>
      <w:r>
        <w:rPr>
          <w:rFonts w:ascii="Times New Roman" w:hAnsi="Times New Roman"/>
          <w:b/>
          <w:i w:val="0"/>
          <w:color w:val="000000"/>
          <w:sz w:val="16"/>
        </w:rPr>
        <w:t>TABLE V: Testing Categories and Automated Evidence Status (123 Automated Tests)</w:t>
      </w:r>
    </w:p>
    <w:tbl>
      <w:tblPr>
        <w:tblW w:type="auto" w:w="0"/>
        <w:jc w:val="center"/>
        <w:tblLook w:firstColumn="1" w:firstRow="1" w:lastColumn="0" w:lastRow="0" w:noHBand="0" w:noVBand="1" w:val="04A0"/>
      </w:tblPr>
      <w:tblGrid>
        <w:gridCol w:w="2592"/>
        <w:gridCol w:w="2592"/>
        <w:gridCol w:w="2592"/>
        <w:gridCol w:w="2592"/>
      </w:tblGrid>
      <w:tr>
        <w:tc>
          <w:tcPr>
            <w:tcW w:type="dxa" w:w="129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Testing Category</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Verification Scope</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Executed Tests</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QA Status</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Unit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Tokenization, regex parsing, TF-IDF vectorization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32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Integration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FastAPI routing, SQLite async pool, session handling</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24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Computer Vision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Otsu thresholding, bilateral smoothing, QR extraction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DoH Cryptographic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Cloudflare/Google DoH DNSSEC, SPF/DKIM verification</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Security Hardening Testing</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CORS policy, JWT expiration, volatile memory purge</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Performance &amp; Stress</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Concurrent locust loads (500 req/sec), memory leak profile</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Browser Extension E2E</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Manifest V3 DOM MutationObserver in Gmail/Outlook</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 Tests</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100% Passed</w:t>
            </w:r>
          </w:p>
        </w:tc>
      </w:tr>
      <w:tr>
        <w:tc>
          <w:tcPr>
            <w:tcW w:type="dxa" w:w="1296"/>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Forensics Audit Validation</w:t>
            </w:r>
          </w:p>
        </w:tc>
        <w:tc>
          <w:tcPr>
            <w:tcW w:type="dxa" w:w="180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ReportLab PDF generation, AES-256 integrity hash</w:t>
            </w:r>
          </w:p>
        </w:tc>
        <w:tc>
          <w:tcPr>
            <w:tcW w:type="dxa" w:w="86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6 Tests</w:t>
            </w:r>
          </w:p>
        </w:tc>
        <w:tc>
          <w:tcPr>
            <w:tcW w:type="dxa" w:w="86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100% Passed</w:t>
            </w:r>
          </w:p>
        </w:tc>
      </w:tr>
    </w:tbl>
    <w:p>
      <w:pPr>
        <w:spacing w:before="0" w:after="60" w:line="252" w:lineRule="auto"/>
        <w:jc w:val="both"/>
      </w:pPr>
      <w:r>
        <w:rPr>
          <w:rFonts w:ascii="Times New Roman" w:hAnsi="Times New Roman"/>
          <w:b w:val="0"/>
          <w:i w:val="0"/>
          <w:color w:val="000000"/>
          <w:sz w:val="17"/>
        </w:rPr>
        <w:t>Table V summarizes the verification scope and execution status across all 123 automated test suites, confirming 100% pass rates prior to benchmark ingestion.</w:t>
      </w:r>
    </w:p>
    <w:p>
      <w:pPr>
        <w:spacing w:before="160" w:after="50" w:line="252" w:lineRule="auto"/>
        <w:jc w:val="left"/>
      </w:pPr>
      <w:r>
        <w:rPr>
          <w:rFonts w:ascii="Times New Roman" w:hAnsi="Times New Roman"/>
          <w:b/>
          <w:i w:val="0"/>
          <w:color w:val="000000"/>
          <w:sz w:val="19"/>
        </w:rPr>
        <w:t>IX. COMPARATIVE ALGORITHMIC BENCHMARKS &amp; MULTI-MODEL EVALUATION</w:t>
      </w:r>
    </w:p>
    <w:p>
      <w:pPr>
        <w:spacing w:before="0" w:after="60" w:line="252" w:lineRule="auto"/>
        <w:jc w:val="both"/>
      </w:pPr>
      <w:r>
        <w:rPr>
          <w:rFonts w:ascii="Times New Roman" w:hAnsi="Times New Roman"/>
          <w:b w:val="0"/>
          <w:i w:val="0"/>
          <w:color w:val="000000"/>
          <w:sz w:val="17"/>
        </w:rPr>
        <w:t>We benchmarked SecureMail against 12 baseline models spanning traditional machine learning, gradient boosting, and deep transformer architectures. As depicted in the Receiver Operating Characteristic (ROC) curves in Fig. 9, SecureMail achieves an Area Under the Curve (AUC) of 0.999, outperforming Naive Bayes (AUC = 0.961), SVM (AUC = 0.954), and Random Forest (AUC = 0.912).</w:t>
      </w:r>
    </w:p>
    <w:p>
      <w:pPr>
        <w:spacing w:before="100" w:after="40"/>
        <w:jc w:val="center"/>
      </w:pPr>
      <w:r>
        <w:drawing>
          <wp:inline xmlns:a="http://schemas.openxmlformats.org/drawingml/2006/main" xmlns:pic="http://schemas.openxmlformats.org/drawingml/2006/picture">
            <wp:extent cx="3063240" cy="2246376"/>
            <wp:docPr id="9" name="Picture 9"/>
            <wp:cNvGraphicFramePr>
              <a:graphicFrameLocks noChangeAspect="1"/>
            </wp:cNvGraphicFramePr>
            <a:graphic>
              <a:graphicData uri="http://schemas.openxmlformats.org/drawingml/2006/picture">
                <pic:pic>
                  <pic:nvPicPr>
                    <pic:cNvPr id="0" name="academic_roc_comparison.png"/>
                    <pic:cNvPicPr/>
                  </pic:nvPicPr>
                  <pic:blipFill>
                    <a:blip r:embed="rId17"/>
                    <a:stretch>
                      <a:fillRect/>
                    </a:stretch>
                  </pic:blipFill>
                  <pic:spPr>
                    <a:xfrm>
                      <a:off x="0" y="0"/>
                      <a:ext cx="3063240" cy="224637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9. Receiver Operating Characteristic (ROC) Benchmark Curves (AUC = 0.999).</w:t>
      </w:r>
    </w:p>
    <w:p>
      <w:pPr>
        <w:spacing w:before="100" w:after="40"/>
        <w:jc w:val="center"/>
      </w:pPr>
      <w:r>
        <w:drawing>
          <wp:inline xmlns:a="http://schemas.openxmlformats.org/drawingml/2006/main" xmlns:pic="http://schemas.openxmlformats.org/drawingml/2006/picture">
            <wp:extent cx="3063240" cy="1225296"/>
            <wp:docPr id="10" name="Picture 10"/>
            <wp:cNvGraphicFramePr>
              <a:graphicFrameLocks noChangeAspect="1"/>
            </wp:cNvGraphicFramePr>
            <a:graphic>
              <a:graphicData uri="http://schemas.openxmlformats.org/drawingml/2006/picture">
                <pic:pic>
                  <pic:nvPicPr>
                    <pic:cNvPr id="0" name="academic_quishing_fpr_benchmark.png"/>
                    <pic:cNvPicPr/>
                  </pic:nvPicPr>
                  <pic:blipFill>
                    <a:blip r:embed="rId18"/>
                    <a:stretch>
                      <a:fillRect/>
                    </a:stretch>
                  </pic:blipFill>
                  <pic:spPr>
                    <a:xfrm>
                      <a:off x="0" y="0"/>
                      <a:ext cx="3063240" cy="1225296"/>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10. Optical Quishing Recall and False Positive Rate across Benchmark Models.</w:t>
      </w:r>
    </w:p>
    <w:p>
      <w:pPr>
        <w:spacing w:before="100" w:after="40"/>
        <w:jc w:val="center"/>
      </w:pPr>
      <w:r>
        <w:drawing>
          <wp:inline xmlns:a="http://schemas.openxmlformats.org/drawingml/2006/main" xmlns:pic="http://schemas.openxmlformats.org/drawingml/2006/picture">
            <wp:extent cx="3063240" cy="1662902"/>
            <wp:docPr id="11" name="Picture 11"/>
            <wp:cNvGraphicFramePr>
              <a:graphicFrameLocks noChangeAspect="1"/>
            </wp:cNvGraphicFramePr>
            <a:graphic>
              <a:graphicData uri="http://schemas.openxmlformats.org/drawingml/2006/picture">
                <pic:pic>
                  <pic:nvPicPr>
                    <pic:cNvPr id="0" name="fig15_urgency_fpr_benchmark.png"/>
                    <pic:cNvPicPr/>
                  </pic:nvPicPr>
                  <pic:blipFill>
                    <a:blip r:embed="rId19"/>
                    <a:stretch>
                      <a:fillRect/>
                    </a:stretch>
                  </pic:blipFill>
                  <pic:spPr>
                    <a:xfrm>
                      <a:off x="0" y="0"/>
                      <a:ext cx="3063240" cy="166290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11. False Positive Rate on High-Urgency Benign Institutional Emails (N=738) Contrasting Classical Classifiers against SecureMail Provenance Discount.</w:t>
      </w:r>
    </w:p>
    <w:p>
      <w:pPr>
        <w:spacing w:before="0" w:after="60" w:line="252" w:lineRule="auto"/>
        <w:jc w:val="both"/>
      </w:pPr>
      <w:r>
        <w:rPr>
          <w:rFonts w:ascii="Times New Roman" w:hAnsi="Times New Roman"/>
          <w:b w:val="0"/>
          <w:i w:val="0"/>
          <w:color w:val="000000"/>
          <w:sz w:val="17"/>
        </w:rPr>
        <w:t>Fig. 10 and Fig. 11 highlight the severe performance collapse exhibited by traditional models when confronted with multimodal attacks. In optical quishing (Fig. 10), classical models achieve exactly 0.0% recall because the attack payload resides in pixel space. On high-urgency benign emails (Fig. 11, N=738), Naive Bayes and Random Forest generate 11.20% and 8.94% false positive rates respectively, whereas SecureMail achieves 0.95% FPR through its authentic provenance discount.</w:t>
      </w:r>
    </w:p>
    <w:p>
      <w:pPr>
        <w:spacing w:before="120" w:after="50" w:line="252" w:lineRule="auto"/>
        <w:jc w:val="center"/>
      </w:pPr>
      <w:r>
        <w:rPr>
          <w:rFonts w:ascii="Times New Roman" w:hAnsi="Times New Roman"/>
          <w:b/>
          <w:i w:val="0"/>
          <w:color w:val="000000"/>
          <w:sz w:val="16"/>
        </w:rPr>
        <w:t>TABLE VI: Baseline Algorithmic Comparison across Traditional Classifiers (N=1,500 Test Samples)</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15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Model / Baseline Algorithm</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Training Corpus</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Precision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Recall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50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Urgency FPR (%)</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Naive Bayes (PILFER) [2]</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93.52</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92.98</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11.20</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SVM (RBF Kernel) [4]</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92.03</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90.15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91.60</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12.80</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Random Forest (Toolan) [3]</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86.03</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84.10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87.20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85.62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8.94</w:t>
            </w:r>
          </w:p>
        </w:tc>
      </w:tr>
      <w:tr>
        <w:tc>
          <w:tcPr>
            <w:tcW w:type="dxa" w:w="1152"/>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Decision Tree (C4.5 Baseline)</w:t>
            </w:r>
          </w:p>
        </w:tc>
        <w:tc>
          <w:tcPr>
            <w:tcW w:type="dxa" w:w="86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83.15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81.20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84.50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82.82</w:t>
            </w:r>
          </w:p>
        </w:tc>
        <w:tc>
          <w:tcPr>
            <w:tcW w:type="dxa" w:w="50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14.50</w:t>
            </w:r>
          </w:p>
        </w:tc>
      </w:tr>
      <w:tr>
        <w:tc>
          <w:tcPr>
            <w:tcW w:type="dxa" w:w="1152"/>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Logistic Regression (L2)</w:t>
            </w:r>
          </w:p>
        </w:tc>
        <w:tc>
          <w:tcPr>
            <w:tcW w:type="dxa" w:w="86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Nazario + Enron</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88.40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87.10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89.20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88.14</w:t>
            </w:r>
          </w:p>
        </w:tc>
        <w:tc>
          <w:tcPr>
            <w:tcW w:type="dxa" w:w="504"/>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10.30</w:t>
            </w:r>
          </w:p>
        </w:tc>
      </w:tr>
    </w:tbl>
    <w:p>
      <w:pPr>
        <w:spacing w:before="0" w:after="60" w:line="252" w:lineRule="auto"/>
        <w:jc w:val="both"/>
      </w:pPr>
      <w:r>
        <w:rPr>
          <w:rFonts w:ascii="Times New Roman" w:hAnsi="Times New Roman"/>
          <w:b w:val="0"/>
          <w:i w:val="0"/>
          <w:color w:val="000000"/>
          <w:sz w:val="17"/>
        </w:rPr>
        <w:t>Table VI benchmarks traditional machine learning baselines across the 1,500 unseen test partition, demonstrating that classical approaches struggle with vocabulary drift and urgency false alarms.</w:t>
      </w:r>
    </w:p>
    <w:p>
      <w:pPr>
        <w:spacing w:before="120" w:after="50" w:line="252" w:lineRule="auto"/>
        <w:jc w:val="center"/>
      </w:pPr>
      <w:r>
        <w:rPr>
          <w:rFonts w:ascii="Times New Roman" w:hAnsi="Times New Roman"/>
          <w:b/>
          <w:i w:val="0"/>
          <w:color w:val="000000"/>
          <w:sz w:val="16"/>
        </w:rPr>
        <w:t>TABLE VII: Advanced Gradient Boosting &amp; Transformer Benchmark Comparison</w:t>
      </w:r>
    </w:p>
    <w:tbl>
      <w:tblPr>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Advanced Model Architecture</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Publication Year</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Precision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Recall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Latency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XGBoost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2021</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94.85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93.90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94.50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42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CatBoost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2022</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94.40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95.60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95.00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48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Hybrid DistilBERT + CNN-LSTM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95.40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96.09</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160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DistilBERT Transformer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96.50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95.80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96.90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96.35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145 ms</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i w:val="0"/>
                <w:color w:val="000000"/>
                <w:sz w:val="13"/>
              </w:rPr>
              <w:t>Stylometric RoBERTa [22]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2025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96.85</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96.20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97.10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96.65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i w:val="0"/>
                <w:color w:val="000000"/>
                <w:sz w:val="13"/>
              </w:rPr>
              <w:t>182 ms</w:t>
            </w:r>
          </w:p>
        </w:tc>
      </w:tr>
      <w:tr>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i w:val="0"/>
                <w:color w:val="000000"/>
                <w:sz w:val="13"/>
              </w:rPr>
              <w:t>QuishFormer ViT [17]</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2026</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94.10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93.50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94.60</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94.05</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i w:val="0"/>
                <w:color w:val="000000"/>
                <w:sz w:val="13"/>
              </w:rPr>
              <w:t>240 ms</w:t>
            </w:r>
          </w:p>
        </w:tc>
      </w:tr>
    </w:tbl>
    <w:p>
      <w:pPr>
        <w:spacing w:before="0" w:after="60" w:line="252" w:lineRule="auto"/>
        <w:jc w:val="both"/>
      </w:pPr>
      <w:r>
        <w:rPr>
          <w:rFonts w:ascii="Times New Roman" w:hAnsi="Times New Roman"/>
          <w:b w:val="0"/>
          <w:i w:val="0"/>
          <w:color w:val="000000"/>
          <w:sz w:val="17"/>
        </w:rPr>
        <w:t>Table VII compares advanced gradient boosting classifiers and deep transformer language models, illustrating higher textual accuracy at the expense of significant computational inference overhead.</w:t>
      </w:r>
    </w:p>
    <w:p>
      <w:pPr>
        <w:spacing w:before="160" w:after="50" w:line="252" w:lineRule="auto"/>
        <w:jc w:val="left"/>
      </w:pPr>
      <w:r>
        <w:rPr>
          <w:rFonts w:ascii="Times New Roman" w:hAnsi="Times New Roman"/>
          <w:b/>
          <w:i w:val="0"/>
          <w:color w:val="000000"/>
          <w:sz w:val="19"/>
        </w:rPr>
        <w:t>X. MASTER EMPIRICAL RESULTS: RESULT TABLE 9 &amp; IN-DEPTH DISCUSSION</w:t>
      </w:r>
    </w:p>
    <w:p>
      <w:pPr>
        <w:spacing w:before="0" w:after="60" w:line="252" w:lineRule="auto"/>
        <w:jc w:val="both"/>
      </w:pPr>
      <w:r>
        <w:rPr>
          <w:rFonts w:ascii="Times New Roman" w:hAnsi="Times New Roman"/>
          <w:b w:val="0"/>
          <w:i w:val="0"/>
          <w:color w:val="000000"/>
          <w:sz w:val="17"/>
        </w:rPr>
        <w:t>To synthesize performance across two decades of email defense, Table IX compares 12 distinct models across eight standardized metrics on our held-out test partition (N=1,500).</w:t>
      </w:r>
    </w:p>
    <w:p>
      <w:pPr>
        <w:spacing w:before="120" w:after="50" w:line="252" w:lineRule="auto"/>
        <w:jc w:val="center"/>
      </w:pPr>
      <w:r>
        <w:rPr>
          <w:rFonts w:ascii="Times New Roman" w:hAnsi="Times New Roman"/>
          <w:b/>
          <w:i w:val="0"/>
          <w:color w:val="000000"/>
          <w:sz w:val="16"/>
        </w:rPr>
        <w:t>TABLE VIII: Modality Ablation Performance Degradation Matrix</w:t>
      </w:r>
    </w:p>
    <w:tbl>
      <w:tblPr>
        <w:tblW w:type="auto" w:w="0"/>
        <w:jc w:val="center"/>
        <w:tblLook w:firstColumn="1" w:firstRow="1" w:lastColumn="0" w:lastRow="0" w:noHBand="0" w:noVBand="1" w:val="04A0"/>
      </w:tblPr>
      <w:tblGrid>
        <w:gridCol w:w="1728"/>
        <w:gridCol w:w="1728"/>
        <w:gridCol w:w="1728"/>
        <w:gridCol w:w="1728"/>
        <w:gridCol w:w="1728"/>
        <w:gridCol w:w="1728"/>
      </w:tblGrid>
      <w:tr>
        <w:tc>
          <w:tcPr>
            <w:tcW w:type="dxa" w:w="122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Ablated System Configuration</w:t>
            </w:r>
          </w:p>
        </w:tc>
        <w:tc>
          <w:tcPr>
            <w:tcW w:type="dxa" w:w="108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Excluded Component</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Accuracy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F1-Score (%)</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Quishing Rec (%)</w:t>
            </w:r>
          </w:p>
        </w:tc>
        <w:tc>
          <w:tcPr>
            <w:tcW w:type="dxa" w:w="57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Urgency FPR (%)</w:t>
            </w:r>
          </w:p>
        </w:tc>
      </w:tr>
      <w:tr>
        <w:tc>
          <w:tcPr>
            <w:tcW w:type="dxa" w:w="1224"/>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Full SecureMail Tri-Modal (Tier 1)</w:t>
            </w:r>
          </w:p>
        </w:tc>
        <w:tc>
          <w:tcPr>
            <w:tcW w:type="dxa" w:w="108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None (Complete System)</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97.87</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97.88</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98.4</w:t>
            </w:r>
          </w:p>
        </w:tc>
        <w:tc>
          <w:tcPr>
            <w:tcW w:type="dxa" w:w="576"/>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0.95</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A: Without Computer Vision</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OpenCV &amp; pyzbar Detonation</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91.24 (-6.63)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90.85 (-7.03)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 (-98.4)</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1.12 (+0.17)</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B: Without Cryptographic DoH</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DoH Resolver &amp; D_auth Discount</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93.40 (-4.47)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93.12 (-4.76)</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98.4 (0.0)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8.75 (+7.80)</w:t>
            </w:r>
          </w:p>
        </w:tc>
      </w:tr>
      <w:tr>
        <w:tc>
          <w:tcPr>
            <w:tcW w:type="dxa" w:w="1224"/>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Ablation C: Without Homoglyph Engine</w:t>
            </w:r>
          </w:p>
        </w:tc>
        <w:tc>
          <w:tcPr>
            <w:tcW w:type="dxa" w:w="108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Levenshtein &amp; Unicode Tables</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94.80 (-3.07)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94.62 (-3.26)</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98.4 (0.0)</w:t>
            </w:r>
          </w:p>
        </w:tc>
        <w:tc>
          <w:tcPr>
            <w:tcW w:type="dxa" w:w="57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1.20 (+0.25)</w:t>
            </w:r>
          </w:p>
        </w:tc>
      </w:tr>
      <w:tr>
        <w:tc>
          <w:tcPr>
            <w:tcW w:type="dxa" w:w="1224"/>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Ablation D: Text-Only Minimal Model</w:t>
            </w:r>
          </w:p>
        </w:tc>
        <w:tc>
          <w:tcPr>
            <w:tcW w:type="dxa" w:w="1080"/>
            <w:tcMar>
              <w:top w:w="35" w:type="dxa"/>
              <w:bottom w:w="35" w:type="dxa"/>
              <w:left w:w="45" w:type="dxa"/>
              <w:right w:w="45" w:type="dxa"/>
            </w:tcMar>
            <w:tcBorders>
              <w:bottom w:sz="8" w:val="single" w:color="000000"/>
            </w:tcBorders>
          </w:tcPr>
          <w:p>
            <w:pPr>
              <w:spacing w:before="30" w:after="30" w:line="240" w:lineRule="auto"/>
              <w:jc w:val="left"/>
            </w:pPr>
            <w:r>
              <w:rPr>
                <w:rFonts w:ascii="Times New Roman" w:hAnsi="Times New Roman"/>
                <w:b w:val="0"/>
                <w:i w:val="0"/>
                <w:color w:val="000000"/>
                <w:sz w:val="13"/>
              </w:rPr>
              <w:t>Vision, DoH &amp; Homoglyphs</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89.15 (-8.72)</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88.70 (-9.18)</w:t>
            </w:r>
          </w:p>
        </w:tc>
        <w:tc>
          <w:tcPr>
            <w:tcW w:type="dxa" w:w="648"/>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0.0 (-98.4)</w:t>
            </w:r>
          </w:p>
        </w:tc>
        <w:tc>
          <w:tcPr>
            <w:tcW w:type="dxa" w:w="576"/>
            <w:tcMar>
              <w:top w:w="35" w:type="dxa"/>
              <w:bottom w:w="35" w:type="dxa"/>
              <w:left w:w="45" w:type="dxa"/>
              <w:right w:w="45" w:type="dxa"/>
            </w:tcMar>
            <w:tcBorders>
              <w:bottom w:sz="8" w:val="single" w:color="000000"/>
            </w:tcBorders>
          </w:tcPr>
          <w:p>
            <w:pPr>
              <w:spacing w:before="30" w:after="30" w:line="240" w:lineRule="auto"/>
              <w:jc w:val="center"/>
            </w:pPr>
            <w:r>
              <w:rPr>
                <w:rFonts w:ascii="Times New Roman" w:hAnsi="Times New Roman"/>
                <w:b w:val="0"/>
                <w:i w:val="0"/>
                <w:color w:val="000000"/>
                <w:sz w:val="13"/>
              </w:rPr>
              <w:t>10.15 (+9.20)</w:t>
            </w:r>
          </w:p>
        </w:tc>
      </w:tr>
    </w:tbl>
    <w:p>
      <w:pPr>
        <w:spacing w:before="0" w:after="60" w:line="252" w:lineRule="auto"/>
        <w:jc w:val="both"/>
      </w:pPr>
      <w:r>
        <w:rPr>
          <w:rFonts w:ascii="Times New Roman" w:hAnsi="Times New Roman"/>
          <w:b w:val="0"/>
          <w:i w:val="0"/>
          <w:color w:val="000000"/>
          <w:sz w:val="17"/>
        </w:rPr>
        <w:t>Table VIII details the performance degradation observed under systematic modality ablation. Disabling the computer vision pipeline causes quishing recall to collapse to 0.0%, while disabling DoH provenance causes the urgency false positive rate to spike from 0.95% to 8.75%.</w:t>
      </w:r>
    </w:p>
    <w:p>
      <w:pPr>
        <w:sectPr>
          <w:type w:val="continuous"/>
          <w:pgSz w:w="12240" w:h="15840"/>
          <w:pgMar w:top="1008" w:right="936" w:bottom="1008" w:left="936" w:header="720" w:footer="720" w:gutter="0"/>
          <w:docGrid w:linePitch="360"/>
          <w:cols w:num="2" w:space="400"/>
        </w:sectPr>
      </w:pPr>
    </w:p>
    <w:p>
      <w:pPr>
        <w:spacing w:before="120" w:after="50" w:line="252" w:lineRule="auto"/>
        <w:jc w:val="center"/>
      </w:pPr>
      <w:r>
        <w:rPr>
          <w:rFonts w:ascii="Times New Roman" w:hAnsi="Times New Roman"/>
          <w:b/>
          <w:i w:val="0"/>
          <w:color w:val="000000"/>
          <w:sz w:val="16"/>
        </w:rPr>
        <w:t>TABLE IX: Master Multi-Model Benchmark Evaluation and Performance Comparison (2007-2026 Baselines vs. SecureMail)</w:t>
      </w:r>
    </w:p>
    <w:tbl>
      <w:tblPr>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216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Model / Architecture</w:t>
            </w:r>
          </w:p>
        </w:tc>
        <w:tc>
          <w:tcPr>
            <w:tcW w:type="dxa" w:w="648"/>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Year</w:t>
            </w:r>
          </w:p>
        </w:tc>
        <w:tc>
          <w:tcPr>
            <w:tcW w:type="dxa" w:w="1800"/>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left"/>
            </w:pPr>
            <w:r>
              <w:rPr>
                <w:rFonts w:ascii="Times New Roman" w:hAnsi="Times New Roman"/>
                <w:b/>
                <w:i w:val="0"/>
                <w:color w:val="000000"/>
                <w:sz w:val="13"/>
              </w:rPr>
              <w:t>Input Modality</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Acc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Prec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F1 (%)</w:t>
            </w:r>
          </w:p>
        </w:tc>
        <w:tc>
          <w:tcPr>
            <w:tcW w:type="dxa" w:w="864"/>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Urg FPR (%)</w:t>
            </w:r>
          </w:p>
        </w:tc>
        <w:tc>
          <w:tcPr>
            <w:tcW w:type="dxa" w:w="936"/>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Quish Rec (%)</w:t>
            </w:r>
          </w:p>
        </w:tc>
        <w:tc>
          <w:tcPr>
            <w:tcW w:type="dxa" w:w="792"/>
            <w:tcMar>
              <w:top w:w="35" w:type="dxa"/>
              <w:bottom w:w="35" w:type="dxa"/>
              <w:left w:w="45" w:type="dxa"/>
              <w:right w:w="45" w:type="dxa"/>
            </w:tcMar>
            <w:shd w:fill="E5E7EB"/>
            <w:tcBorders>
              <w:top w:sz="8" w:val="single" w:color="000000"/>
              <w:bottom w:sz="6" w:val="single" w:color="000000"/>
            </w:tcBorders>
          </w:tcPr>
          <w:p>
            <w:pPr>
              <w:spacing w:before="30" w:after="30" w:line="240" w:lineRule="auto"/>
              <w:jc w:val="center"/>
            </w:pPr>
            <w:r>
              <w:rPr>
                <w:rFonts w:ascii="Times New Roman" w:hAnsi="Times New Roman"/>
                <w:b/>
                <w:i w:val="0"/>
                <w:color w:val="000000"/>
                <w:sz w:val="13"/>
              </w:rPr>
              <w:t>Latency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Naive Bayes (PILFER) [2]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2007</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ASCII Text Tokens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93.52</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92.98</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11.20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SVM (RBF Kernel) [4]</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2008</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Lexical Text Vectors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92.03</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90.15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91.60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24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Random Forest [3]</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2010</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21 Lexical Features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86.03</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84.10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85.62</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8.94</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31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Decision Tree (C4.5)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2012</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Syntactic Token Splits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83.15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81.20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84.50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82.82</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Logistic Regression</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2014</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L2 Token Probabilities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87.10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89.20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88.14</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10.30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XGBoost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2021</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Gradient Boosted Trees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94.85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93.90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94.50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6.80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CatBoost Classifier</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2022</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Categorical Boosting</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95.00</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6.20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48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DistilBERT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Contextual Embeddings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96.90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96.35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4.80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RoBERTa Stylometric [22]</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Deep Syntactic Attention</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96.85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97.10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96.65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4.20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14.5</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182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Hybrid CNN-LSTM [20]</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Spatial-Temporal Tokens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96.20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95.40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96.09</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5.10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8.0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160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QuishFormer ViT [17]</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2026</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Visual Patch Matrices</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93.50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94.05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7.90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97.2</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240 ms</w:t>
            </w:r>
          </w:p>
        </w:tc>
      </w:tr>
      <w:tr>
        <w:tc>
          <w:tcPr>
            <w:tcW w:type="dxa" w:w="216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Dual-Path BEC [25]</w:t>
            </w:r>
          </w:p>
        </w:tc>
        <w:tc>
          <w:tcPr>
            <w:tcW w:type="dxa" w:w="648"/>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2025</w:t>
            </w:r>
          </w:p>
        </w:tc>
        <w:tc>
          <w:tcPr>
            <w:tcW w:type="dxa" w:w="1800"/>
            <w:tcMar>
              <w:top w:w="35" w:type="dxa"/>
              <w:bottom w:w="35" w:type="dxa"/>
              <w:left w:w="45" w:type="dxa"/>
              <w:right w:w="45" w:type="dxa"/>
            </w:tcMar>
            <w:tcBorders>
              <w:bottom w:sz="2" w:val="single" w:color="E5E7EB"/>
            </w:tcBorders>
          </w:tcPr>
          <w:p>
            <w:pPr>
              <w:spacing w:before="30" w:after="30" w:line="240" w:lineRule="auto"/>
              <w:jc w:val="left"/>
            </w:pPr>
            <w:r>
              <w:rPr>
                <w:rFonts w:ascii="Times New Roman" w:hAnsi="Times New Roman"/>
                <w:b w:val="0"/>
                <w:i w:val="0"/>
                <w:color w:val="000000"/>
                <w:sz w:val="13"/>
              </w:rPr>
              <w:t>Header Deep Neural Net</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95.60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95.10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96.00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95.55</w:t>
            </w:r>
          </w:p>
        </w:tc>
        <w:tc>
          <w:tcPr>
            <w:tcW w:type="dxa" w:w="864"/>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3.50</w:t>
            </w:r>
          </w:p>
        </w:tc>
        <w:tc>
          <w:tcPr>
            <w:tcW w:type="dxa" w:w="936"/>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0.0</w:t>
            </w:r>
          </w:p>
        </w:tc>
        <w:tc>
          <w:tcPr>
            <w:tcW w:type="dxa" w:w="792"/>
            <w:tcMar>
              <w:top w:w="35" w:type="dxa"/>
              <w:bottom w:w="35" w:type="dxa"/>
              <w:left w:w="45" w:type="dxa"/>
              <w:right w:w="45" w:type="dxa"/>
            </w:tcMar>
            <w:tcBorders>
              <w:bottom w:sz="2" w:val="single" w:color="E5E7EB"/>
            </w:tcBorders>
          </w:tcPr>
          <w:p>
            <w:pPr>
              <w:spacing w:before="30" w:after="30" w:line="240" w:lineRule="auto"/>
              <w:jc w:val="center"/>
            </w:pPr>
            <w:r>
              <w:rPr>
                <w:rFonts w:ascii="Times New Roman" w:hAnsi="Times New Roman"/>
                <w:b w:val="0"/>
                <w:i w:val="0"/>
                <w:color w:val="000000"/>
                <w:sz w:val="13"/>
              </w:rPr>
              <w:t>95 ms</w:t>
            </w:r>
          </w:p>
        </w:tc>
      </w:tr>
      <w:tr>
        <w:tc>
          <w:tcPr>
            <w:tcW w:type="dxa" w:w="216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SecureMail Tier 1 (Quick)</w:t>
            </w:r>
          </w:p>
        </w:tc>
        <w:tc>
          <w:tcPr>
            <w:tcW w:type="dxa" w:w="648"/>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2026</w:t>
            </w:r>
          </w:p>
        </w:tc>
        <w:tc>
          <w:tcPr>
            <w:tcW w:type="dxa" w:w="1800"/>
            <w:tcMar>
              <w:top w:w="35" w:type="dxa"/>
              <w:bottom w:w="35" w:type="dxa"/>
              <w:left w:w="45" w:type="dxa"/>
              <w:right w:w="45" w:type="dxa"/>
            </w:tcMar>
            <w:shd w:fill="FEF3C7"/>
            <w:tcBorders>
              <w:bottom w:sz="2" w:val="single" w:color="CBD5E1"/>
            </w:tcBorders>
          </w:tcPr>
          <w:p>
            <w:pPr>
              <w:spacing w:before="30" w:after="30" w:line="240" w:lineRule="auto"/>
              <w:jc w:val="left"/>
            </w:pPr>
            <w:r>
              <w:rPr>
                <w:rFonts w:ascii="Times New Roman" w:hAnsi="Times New Roman"/>
                <w:b/>
                <w:i w:val="0"/>
                <w:color w:val="000000"/>
                <w:sz w:val="13"/>
              </w:rPr>
              <w:t>Tri-Modal Hybrid</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97.87</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97.82</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97.94</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97.88</w:t>
            </w:r>
          </w:p>
        </w:tc>
        <w:tc>
          <w:tcPr>
            <w:tcW w:type="dxa" w:w="864"/>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0.95</w:t>
            </w:r>
          </w:p>
        </w:tc>
        <w:tc>
          <w:tcPr>
            <w:tcW w:type="dxa" w:w="936"/>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98.4</w:t>
            </w:r>
          </w:p>
        </w:tc>
        <w:tc>
          <w:tcPr>
            <w:tcW w:type="dxa" w:w="792"/>
            <w:tcMar>
              <w:top w:w="35" w:type="dxa"/>
              <w:bottom w:w="35" w:type="dxa"/>
              <w:left w:w="45" w:type="dxa"/>
              <w:right w:w="45" w:type="dxa"/>
            </w:tcMar>
            <w:shd w:fill="FEF3C7"/>
            <w:tcBorders>
              <w:bottom w:sz="2" w:val="single" w:color="CBD5E1"/>
            </w:tcBorders>
          </w:tcPr>
          <w:p>
            <w:pPr>
              <w:spacing w:before="30" w:after="30" w:line="240" w:lineRule="auto"/>
              <w:jc w:val="center"/>
            </w:pPr>
            <w:r>
              <w:rPr>
                <w:rFonts w:ascii="Times New Roman" w:hAnsi="Times New Roman"/>
                <w:b/>
                <w:i w:val="0"/>
                <w:color w:val="000000"/>
                <w:sz w:val="13"/>
              </w:rPr>
              <w:t>110 ms</w:t>
            </w:r>
          </w:p>
        </w:tc>
      </w:tr>
      <w:tr>
        <w:tc>
          <w:tcPr>
            <w:tcW w:type="dxa" w:w="2160"/>
            <w:tcMar>
              <w:top w:w="35" w:type="dxa"/>
              <w:bottom w:w="35" w:type="dxa"/>
              <w:left w:w="45" w:type="dxa"/>
              <w:right w:w="45" w:type="dxa"/>
            </w:tcMar>
            <w:shd w:fill="EFF6FF"/>
            <w:tcBorders>
              <w:bottom w:sz="8" w:val="single" w:color="000000"/>
            </w:tcBorders>
          </w:tcPr>
          <w:p>
            <w:pPr>
              <w:spacing w:before="30" w:after="30" w:line="240" w:lineRule="auto"/>
              <w:jc w:val="left"/>
            </w:pPr>
            <w:r>
              <w:rPr>
                <w:rFonts w:ascii="Times New Roman" w:hAnsi="Times New Roman"/>
                <w:b/>
                <w:i w:val="0"/>
                <w:color w:val="000000"/>
                <w:sz w:val="13"/>
              </w:rPr>
              <w:t>SecureMail Tier 2 (Deep)</w:t>
            </w:r>
          </w:p>
        </w:tc>
        <w:tc>
          <w:tcPr>
            <w:tcW w:type="dxa" w:w="648"/>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2026</w:t>
            </w:r>
          </w:p>
        </w:tc>
        <w:tc>
          <w:tcPr>
            <w:tcW w:type="dxa" w:w="1800"/>
            <w:tcMar>
              <w:top w:w="35" w:type="dxa"/>
              <w:bottom w:w="35" w:type="dxa"/>
              <w:left w:w="45" w:type="dxa"/>
              <w:right w:w="45" w:type="dxa"/>
            </w:tcMar>
            <w:shd w:fill="EFF6FF"/>
            <w:tcBorders>
              <w:bottom w:sz="8" w:val="single" w:color="000000"/>
            </w:tcBorders>
          </w:tcPr>
          <w:p>
            <w:pPr>
              <w:spacing w:before="30" w:after="30" w:line="240" w:lineRule="auto"/>
              <w:jc w:val="left"/>
            </w:pPr>
            <w:r>
              <w:rPr>
                <w:rFonts w:ascii="Times New Roman" w:hAnsi="Times New Roman"/>
                <w:b/>
                <w:i w:val="0"/>
                <w:color w:val="000000"/>
                <w:sz w:val="13"/>
              </w:rPr>
              <w:t>Hybrid + Cloud Sandbox</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99.80</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99.75</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99.85</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99.80</w:t>
            </w:r>
          </w:p>
        </w:tc>
        <w:tc>
          <w:tcPr>
            <w:tcW w:type="dxa" w:w="864"/>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0.15</w:t>
            </w:r>
          </w:p>
        </w:tc>
        <w:tc>
          <w:tcPr>
            <w:tcW w:type="dxa" w:w="936"/>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99.6</w:t>
            </w:r>
          </w:p>
        </w:tc>
        <w:tc>
          <w:tcPr>
            <w:tcW w:type="dxa" w:w="792"/>
            <w:tcMar>
              <w:top w:w="35" w:type="dxa"/>
              <w:bottom w:w="35" w:type="dxa"/>
              <w:left w:w="45" w:type="dxa"/>
              <w:right w:w="45" w:type="dxa"/>
            </w:tcMar>
            <w:shd w:fill="EFF6FF"/>
            <w:tcBorders>
              <w:bottom w:sz="8" w:val="single" w:color="000000"/>
            </w:tcBorders>
          </w:tcPr>
          <w:p>
            <w:pPr>
              <w:spacing w:before="30" w:after="30" w:line="240" w:lineRule="auto"/>
              <w:jc w:val="center"/>
            </w:pPr>
            <w:r>
              <w:rPr>
                <w:rFonts w:ascii="Times New Roman" w:hAnsi="Times New Roman"/>
                <w:b/>
                <w:i w:val="0"/>
                <w:color w:val="000000"/>
                <w:sz w:val="13"/>
              </w:rPr>
              <w:t>4,200 ms</w:t>
            </w:r>
          </w:p>
        </w:tc>
      </w:tr>
    </w:tbl>
    <w:p>
      <w:pPr>
        <w:sectPr>
          <w:type w:val="continuous"/>
          <w:pgSz w:w="12240" w:h="15840"/>
          <w:pgMar w:top="1008" w:right="936" w:bottom="1008" w:left="936" w:header="720" w:footer="720" w:gutter="0"/>
          <w:docGrid w:linePitch="360"/>
          <w:cols w:num="1"/>
        </w:sectPr>
      </w:pPr>
    </w:p>
    <w:p>
      <w:pPr>
        <w:spacing w:before="0" w:after="60" w:line="252" w:lineRule="auto"/>
        <w:jc w:val="both"/>
      </w:pPr>
      <w:r>
        <w:rPr>
          <w:rFonts w:ascii="Times New Roman" w:hAnsi="Times New Roman"/>
          <w:b w:val="0"/>
          <w:i w:val="0"/>
          <w:color w:val="000000"/>
          <w:sz w:val="17"/>
        </w:rPr>
        <w:t>Analysis of Table IX demonstrates that SecureMail Tier 1 establishes state-of-the-art performance among real-time local gateways. While standalone transformers (DistilBERT [20], RoBERTa [22]) achieve competitive lexical accuracy (96.50%-96.85%), their inability to evaluate visual matrices results in catastrophic failure against quishing (12.0%-14.5% recall). Conversely, vision transformers like QuishFormer [17] achieve 97.2% quishing recall but lack cryptographic DNS validation, suffering an elevated urgency false alarm rate of 7.90% and higher inference latency (240 ms). SecureMail Tier 1 harmonizes all modalities into a coherent probability distribution, achieving 97.87% accuracy and 98.4% quishing recall with an exceptional 0.95% urgency FPR at 110 ms latency.</w:t>
      </w:r>
    </w:p>
    <w:p>
      <w:pPr>
        <w:spacing w:before="160" w:after="50" w:line="252" w:lineRule="auto"/>
        <w:jc w:val="left"/>
      </w:pPr>
      <w:r>
        <w:rPr>
          <w:rFonts w:ascii="Times New Roman" w:hAnsi="Times New Roman"/>
          <w:b/>
          <w:i w:val="0"/>
          <w:color w:val="000000"/>
          <w:sz w:val="19"/>
        </w:rPr>
        <w:t>XI. ABLATION STUDIES, PRECISION-RECALL DYNAMICS &amp; OPERATIONAL TRADE-OFFS</w:t>
      </w:r>
    </w:p>
    <w:p>
      <w:pPr>
        <w:spacing w:before="0" w:after="60" w:line="252" w:lineRule="auto"/>
        <w:jc w:val="both"/>
      </w:pPr>
      <w:r>
        <w:rPr>
          <w:rFonts w:ascii="Times New Roman" w:hAnsi="Times New Roman"/>
          <w:b w:val="0"/>
          <w:i w:val="0"/>
          <w:color w:val="000000"/>
          <w:sz w:val="17"/>
        </w:rPr>
        <w:t>To quantify the individual contribution of each subsystem, we performed granular ablation profiling across our entire evaluation partition.</w:t>
      </w:r>
    </w:p>
    <w:p>
      <w:pPr>
        <w:spacing w:before="100" w:after="40"/>
        <w:jc w:val="center"/>
      </w:pPr>
      <w:r>
        <w:drawing>
          <wp:inline xmlns:a="http://schemas.openxmlformats.org/drawingml/2006/main" xmlns:pic="http://schemas.openxmlformats.org/drawingml/2006/picture">
            <wp:extent cx="3063240" cy="1684782"/>
            <wp:docPr id="12" name="Picture 12"/>
            <wp:cNvGraphicFramePr>
              <a:graphicFrameLocks noChangeAspect="1"/>
            </wp:cNvGraphicFramePr>
            <a:graphic>
              <a:graphicData uri="http://schemas.openxmlformats.org/drawingml/2006/picture">
                <pic:pic>
                  <pic:nvPicPr>
                    <pic:cNvPr id="0" name="academic_ablation_study.png"/>
                    <pic:cNvPicPr/>
                  </pic:nvPicPr>
                  <pic:blipFill>
                    <a:blip r:embed="rId20"/>
                    <a:stretch>
                      <a:fillRect/>
                    </a:stretch>
                  </pic:blipFill>
                  <pic:spPr>
                    <a:xfrm>
                      <a:off x="0" y="0"/>
                      <a:ext cx="3063240" cy="168478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12. Ablation Study Quantifying the Impact of Individual SecureMail Modalities.</w:t>
      </w:r>
    </w:p>
    <w:p>
      <w:pPr>
        <w:spacing w:before="0" w:after="60" w:line="252" w:lineRule="auto"/>
        <w:jc w:val="both"/>
      </w:pPr>
      <w:r>
        <w:rPr>
          <w:rFonts w:ascii="Times New Roman" w:hAnsi="Times New Roman"/>
          <w:b w:val="0"/>
          <w:i w:val="0"/>
          <w:color w:val="000000"/>
          <w:sz w:val="17"/>
        </w:rPr>
        <w:t>Fig. 12 illustrates the ablation study quantifying the marginal contribution of each modality on overall detection accuracy and recall.</w:t>
      </w:r>
    </w:p>
    <w:p>
      <w:pPr>
        <w:spacing w:before="100" w:after="40"/>
        <w:jc w:val="center"/>
      </w:pPr>
      <w:r>
        <w:drawing>
          <wp:inline xmlns:a="http://schemas.openxmlformats.org/drawingml/2006/main" xmlns:pic="http://schemas.openxmlformats.org/drawingml/2006/picture">
            <wp:extent cx="3063240" cy="2663687"/>
            <wp:docPr id="13" name="Picture 13"/>
            <wp:cNvGraphicFramePr>
              <a:graphicFrameLocks noChangeAspect="1"/>
            </wp:cNvGraphicFramePr>
            <a:graphic>
              <a:graphicData uri="http://schemas.openxmlformats.org/drawingml/2006/picture">
                <pic:pic>
                  <pic:nvPicPr>
                    <pic:cNvPr id="0" name="academic_feature_correlation.png"/>
                    <pic:cNvPicPr/>
                  </pic:nvPicPr>
                  <pic:blipFill>
                    <a:blip r:embed="rId21"/>
                    <a:stretch>
                      <a:fillRect/>
                    </a:stretch>
                  </pic:blipFill>
                  <pic:spPr>
                    <a:xfrm>
                      <a:off x="0" y="0"/>
                      <a:ext cx="3063240" cy="2663687"/>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13. Feature Correlation Heatmap Quantifying Attack Markers and Provenance Discounts.</w:t>
      </w:r>
    </w:p>
    <w:p>
      <w:pPr>
        <w:spacing w:before="0" w:after="60" w:line="252" w:lineRule="auto"/>
        <w:jc w:val="both"/>
      </w:pPr>
      <w:r>
        <w:rPr>
          <w:rFonts w:ascii="Times New Roman" w:hAnsi="Times New Roman"/>
          <w:b w:val="0"/>
          <w:i w:val="0"/>
          <w:color w:val="000000"/>
          <w:sz w:val="17"/>
        </w:rPr>
        <w:t>Fig. 13 presents the feature correlation heatmap across attack indicators, confirming that homoglyph, quishing, and entropy features correlate strongly with ground-truth phishing labels while remaining orthogonal to benign metadata.</w:t>
      </w:r>
    </w:p>
    <w:p>
      <w:pPr>
        <w:spacing w:before="100" w:after="40"/>
        <w:jc w:val="center"/>
      </w:pPr>
      <w:r>
        <w:drawing>
          <wp:inline xmlns:a="http://schemas.openxmlformats.org/drawingml/2006/main" xmlns:pic="http://schemas.openxmlformats.org/drawingml/2006/picture">
            <wp:extent cx="3063240" cy="1873982"/>
            <wp:docPr id="14" name="Picture 14"/>
            <wp:cNvGraphicFramePr>
              <a:graphicFrameLocks noChangeAspect="1"/>
            </wp:cNvGraphicFramePr>
            <a:graphic>
              <a:graphicData uri="http://schemas.openxmlformats.org/drawingml/2006/picture">
                <pic:pic>
                  <pic:nvPicPr>
                    <pic:cNvPr id="0" name="academic_training_curves.png"/>
                    <pic:cNvPicPr/>
                  </pic:nvPicPr>
                  <pic:blipFill>
                    <a:blip r:embed="rId22"/>
                    <a:stretch>
                      <a:fillRect/>
                    </a:stretch>
                  </pic:blipFill>
                  <pic:spPr>
                    <a:xfrm>
                      <a:off x="0" y="0"/>
                      <a:ext cx="3063240" cy="187398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14. Multi-Metric Model Convergence Trajectory Across Sequential Architectural Modalities.</w:t>
      </w:r>
    </w:p>
    <w:p>
      <w:pPr>
        <w:spacing w:before="0" w:after="60" w:line="252" w:lineRule="auto"/>
        <w:jc w:val="both"/>
      </w:pPr>
      <w:r>
        <w:rPr>
          <w:rFonts w:ascii="Times New Roman" w:hAnsi="Times New Roman"/>
          <w:b w:val="0"/>
          <w:i w:val="0"/>
          <w:color w:val="000000"/>
          <w:sz w:val="17"/>
        </w:rPr>
        <w:t>Fig. 14 plots the multi-metric model convergence trajectory across sequential architectural modalities, showing rapid convergence and stable loss stabilization within 15 epochs.</w:t>
      </w:r>
    </w:p>
    <w:p>
      <w:pPr>
        <w:spacing w:before="100" w:after="40"/>
        <w:jc w:val="center"/>
      </w:pPr>
      <w:r>
        <w:drawing>
          <wp:inline xmlns:a="http://schemas.openxmlformats.org/drawingml/2006/main" xmlns:pic="http://schemas.openxmlformats.org/drawingml/2006/picture">
            <wp:extent cx="3063240" cy="1979324"/>
            <wp:docPr id="15" name="Picture 15"/>
            <wp:cNvGraphicFramePr>
              <a:graphicFrameLocks noChangeAspect="1"/>
            </wp:cNvGraphicFramePr>
            <a:graphic>
              <a:graphicData uri="http://schemas.openxmlformats.org/drawingml/2006/picture">
                <pic:pic>
                  <pic:nvPicPr>
                    <pic:cNvPr id="0" name="fig16_precision_recall_curves.png"/>
                    <pic:cNvPicPr/>
                  </pic:nvPicPr>
                  <pic:blipFill>
                    <a:blip r:embed="rId23"/>
                    <a:stretch>
                      <a:fillRect/>
                    </a:stretch>
                  </pic:blipFill>
                  <pic:spPr>
                    <a:xfrm>
                      <a:off x="0" y="0"/>
                      <a:ext cx="3063240" cy="197932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15. Precision-Recall Curves Across Evasive Threat Modalities Illustrating High Positive Predictive Value at Extended Sensitivity Thresholds.</w:t>
      </w:r>
    </w:p>
    <w:p>
      <w:pPr>
        <w:spacing w:before="0" w:after="60" w:line="252" w:lineRule="auto"/>
        <w:jc w:val="both"/>
      </w:pPr>
      <w:r>
        <w:rPr>
          <w:rFonts w:ascii="Times New Roman" w:hAnsi="Times New Roman"/>
          <w:b w:val="0"/>
          <w:i w:val="0"/>
          <w:color w:val="000000"/>
          <w:sz w:val="17"/>
        </w:rPr>
        <w:t>Fig. 15 benchmarks the Precision-Recall dynamics across optical quishing (AP = 0.994), weaponized attachments (AP = 0.992), IDN homoglyphs (AP = 0.988), and BEC (AP = 0.976), confirming high positive predictive value across diverse operating thresholds.</w:t>
      </w:r>
    </w:p>
    <w:p>
      <w:pPr>
        <w:spacing w:before="100" w:after="40"/>
        <w:jc w:val="center"/>
      </w:pPr>
      <w:r>
        <w:drawing>
          <wp:inline xmlns:a="http://schemas.openxmlformats.org/drawingml/2006/main" xmlns:pic="http://schemas.openxmlformats.org/drawingml/2006/picture">
            <wp:extent cx="3063240" cy="2864364"/>
            <wp:docPr id="16" name="Picture 16"/>
            <wp:cNvGraphicFramePr>
              <a:graphicFrameLocks noChangeAspect="1"/>
            </wp:cNvGraphicFramePr>
            <a:graphic>
              <a:graphicData uri="http://schemas.openxmlformats.org/drawingml/2006/picture">
                <pic:pic>
                  <pic:nvPicPr>
                    <pic:cNvPr id="0" name="fig18_multimodal_threat_radar.png"/>
                    <pic:cNvPicPr/>
                  </pic:nvPicPr>
                  <pic:blipFill>
                    <a:blip r:embed="rId24"/>
                    <a:stretch>
                      <a:fillRect/>
                    </a:stretch>
                  </pic:blipFill>
                  <pic:spPr>
                    <a:xfrm>
                      <a:off x="0" y="0"/>
                      <a:ext cx="3063240" cy="2864364"/>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16. Multi-Vector Threat Detection Coverage Benchmark Contrasting SecureMail against Contemporary and Classical Baselines across Six Attack Vectors.</w:t>
      </w:r>
    </w:p>
    <w:p>
      <w:pPr>
        <w:spacing w:before="0" w:after="60" w:line="252" w:lineRule="auto"/>
        <w:jc w:val="both"/>
      </w:pPr>
      <w:r>
        <w:rPr>
          <w:rFonts w:ascii="Times New Roman" w:hAnsi="Times New Roman"/>
          <w:b w:val="0"/>
          <w:i w:val="0"/>
          <w:color w:val="000000"/>
          <w:sz w:val="17"/>
        </w:rPr>
        <w:t>Fig. 16 presents a comprehensive radar comparison across six primary attack vectors, illustrating SecureMail's dominant and balanced coverage exceeding 96.7% across all threat vectors.</w:t>
      </w:r>
    </w:p>
    <w:p>
      <w:pPr>
        <w:spacing w:before="100" w:after="40"/>
        <w:jc w:val="center"/>
      </w:pPr>
      <w:r>
        <w:drawing>
          <wp:inline xmlns:a="http://schemas.openxmlformats.org/drawingml/2006/main" xmlns:pic="http://schemas.openxmlformats.org/drawingml/2006/picture">
            <wp:extent cx="3063240" cy="2467610"/>
            <wp:docPr id="17" name="Picture 17"/>
            <wp:cNvGraphicFramePr>
              <a:graphicFrameLocks noChangeAspect="1"/>
            </wp:cNvGraphicFramePr>
            <a:graphic>
              <a:graphicData uri="http://schemas.openxmlformats.org/drawingml/2006/picture">
                <pic:pic>
                  <pic:nvPicPr>
                    <pic:cNvPr id="0" name="academic_confusion_matrix.png"/>
                    <pic:cNvPicPr/>
                  </pic:nvPicPr>
                  <pic:blipFill>
                    <a:blip r:embed="rId25"/>
                    <a:stretch>
                      <a:fillRect/>
                    </a:stretch>
                  </pic:blipFill>
                  <pic:spPr>
                    <a:xfrm>
                      <a:off x="0" y="0"/>
                      <a:ext cx="3063240" cy="2467610"/>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17. Confusion Matrix on Benchmark Test Partition (N=1,500).</w:t>
      </w:r>
    </w:p>
    <w:p>
      <w:pPr>
        <w:spacing w:before="0" w:after="60" w:line="252" w:lineRule="auto"/>
        <w:jc w:val="both"/>
      </w:pPr>
      <w:r>
        <w:rPr>
          <w:rFonts w:ascii="Times New Roman" w:hAnsi="Times New Roman"/>
          <w:b w:val="0"/>
          <w:i w:val="0"/>
          <w:color w:val="000000"/>
          <w:sz w:val="17"/>
        </w:rPr>
        <w:t>Fig. 17 displays the calibrated confusion matrix across 1,500 unseen evaluation emails, demonstrating only 16 false positives and 16 false negatives.</w:t>
      </w:r>
    </w:p>
    <w:p>
      <w:pPr>
        <w:spacing w:before="100" w:after="40"/>
        <w:jc w:val="center"/>
      </w:pPr>
      <w:r>
        <w:drawing>
          <wp:inline xmlns:a="http://schemas.openxmlformats.org/drawingml/2006/main" xmlns:pic="http://schemas.openxmlformats.org/drawingml/2006/picture">
            <wp:extent cx="3063240" cy="1662902"/>
            <wp:docPr id="18" name="Picture 18"/>
            <wp:cNvGraphicFramePr>
              <a:graphicFrameLocks noChangeAspect="1"/>
            </wp:cNvGraphicFramePr>
            <a:graphic>
              <a:graphicData uri="http://schemas.openxmlformats.org/drawingml/2006/picture">
                <pic:pic>
                  <pic:nvPicPr>
                    <pic:cNvPr id="0" name="fig14_latency_profiling.png"/>
                    <pic:cNvPicPr/>
                  </pic:nvPicPr>
                  <pic:blipFill>
                    <a:blip r:embed="rId26"/>
                    <a:stretch>
                      <a:fillRect/>
                    </a:stretch>
                  </pic:blipFill>
                  <pic:spPr>
                    <a:xfrm>
                      <a:off x="0" y="0"/>
                      <a:ext cx="3063240" cy="1662902"/>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18. Subsystem Latency Profiling across Quick Scan Pipeline (N=1,500) Comparing Median (p50) and 95th Percentile (p95) Execution Latencies.</w:t>
      </w:r>
    </w:p>
    <w:p>
      <w:pPr>
        <w:spacing w:before="100" w:after="40"/>
        <w:jc w:val="center"/>
      </w:pPr>
      <w:r>
        <w:drawing>
          <wp:inline xmlns:a="http://schemas.openxmlformats.org/drawingml/2006/main" xmlns:pic="http://schemas.openxmlformats.org/drawingml/2006/picture">
            <wp:extent cx="3063240" cy="1786890"/>
            <wp:docPr id="19" name="Picture 19"/>
            <wp:cNvGraphicFramePr>
              <a:graphicFrameLocks noChangeAspect="1"/>
            </wp:cNvGraphicFramePr>
            <a:graphic>
              <a:graphicData uri="http://schemas.openxmlformats.org/drawingml/2006/picture">
                <pic:pic>
                  <pic:nvPicPr>
                    <pic:cNvPr id="0" name="fig17_pareto_latency_accuracy.png"/>
                    <pic:cNvPicPr/>
                  </pic:nvPicPr>
                  <pic:blipFill>
                    <a:blip r:embed="rId27"/>
                    <a:stretch>
                      <a:fillRect/>
                    </a:stretch>
                  </pic:blipFill>
                  <pic:spPr>
                    <a:xfrm>
                      <a:off x="0" y="0"/>
                      <a:ext cx="3063240" cy="1786890"/>
                    </a:xfrm>
                    <a:prstGeom prst="rect"/>
                  </pic:spPr>
                </pic:pic>
              </a:graphicData>
            </a:graphic>
          </wp:inline>
        </w:drawing>
      </w:r>
    </w:p>
    <w:p>
      <w:pPr>
        <w:spacing w:before="50" w:after="100" w:line="252" w:lineRule="auto"/>
        <w:jc w:val="center"/>
      </w:pPr>
      <w:r>
        <w:rPr>
          <w:rFonts w:ascii="Times New Roman" w:hAnsi="Times New Roman"/>
          <w:b w:val="0"/>
          <w:i/>
          <w:color w:val="000000"/>
          <w:sz w:val="15"/>
        </w:rPr>
        <w:t>Fig. 19. Operational Pareto Frontier Quantifying Empirical Detection Depth versus End-to-End Processing Latency.</w:t>
      </w:r>
    </w:p>
    <w:p>
      <w:pPr>
        <w:spacing w:before="0" w:after="60" w:line="252" w:lineRule="auto"/>
        <w:jc w:val="both"/>
      </w:pPr>
      <w:r>
        <w:rPr>
          <w:rFonts w:ascii="Times New Roman" w:hAnsi="Times New Roman"/>
          <w:b w:val="0"/>
          <w:i w:val="0"/>
          <w:color w:val="000000"/>
          <w:sz w:val="17"/>
        </w:rPr>
        <w:t>Fig. 18 illustrates the empirical latency distribution across each subsystem of the Quick Scan pipeline over 1,500 evaluations. The median execution time (p50) is dominated by DoH DNS resolution (43.2 ms) and OpenCV computer vision decoding (27.5 ms), followed by Scikit-Learn TF-IDF inference (14.6 ms), client DOM parsing (11.8 ms), IDN homoglyph matching (7.9 ms), and Bayesian scoring (3.8 ms). Even at the 95th percentile (p95), total local inspection completes in approximately 168.1 ms, satisfying real-time browser extension constraints (&lt;200 ms) without requiring external threat feed network hops. Fig. 19 further illustrates how SecureMail establishes a new operational Pareto frontier, offering 97.87% accuracy at 110 ms locally and 99.80% in deep sandbox mode.</w:t>
      </w:r>
    </w:p>
    <w:p>
      <w:pPr>
        <w:spacing w:before="160" w:after="50" w:line="252" w:lineRule="auto"/>
        <w:jc w:val="left"/>
      </w:pPr>
      <w:r>
        <w:rPr>
          <w:rFonts w:ascii="Times New Roman" w:hAnsi="Times New Roman"/>
          <w:b/>
          <w:i w:val="0"/>
          <w:color w:val="000000"/>
          <w:sz w:val="19"/>
        </w:rPr>
        <w:t>XII. SYSTEM IMPLEMENTATION, OPEN DATASETS, AND WEB VERIFICATION LINKS</w:t>
      </w:r>
    </w:p>
    <w:p>
      <w:pPr>
        <w:spacing w:before="0" w:after="60" w:line="252" w:lineRule="auto"/>
        <w:jc w:val="both"/>
      </w:pPr>
      <w:r>
        <w:rPr>
          <w:rFonts w:ascii="Times New Roman" w:hAnsi="Times New Roman"/>
          <w:b w:val="0"/>
          <w:i w:val="0"/>
          <w:color w:val="000000"/>
          <w:sz w:val="17"/>
        </w:rPr>
        <w:t>To support open science and scientific validation, all software modules, model weights, synthetic attack datasets, and interactive dashboards are documented and accessible through verified endpoints:</w:t>
      </w:r>
    </w:p>
    <w:p>
      <w:pPr>
        <w:spacing w:before="0" w:after="60" w:line="252" w:lineRule="auto"/>
        <w:jc w:val="both"/>
      </w:pPr>
      <w:r>
        <w:rPr>
          <w:rFonts w:ascii="Times New Roman" w:hAnsi="Times New Roman"/>
          <w:b w:val="0"/>
          <w:i w:val="0"/>
          <w:color w:val="000000"/>
          <w:sz w:val="17"/>
        </w:rPr>
        <w:t>1) Project Source Code &amp; Extension: The complete open-source codebase, comprising the Manifest V3 browser extension, FastAPI gateway, and automated unit tests, is available on GitHub: https://github.com/samirkhurshid/SecureMail.</w:t>
      </w:r>
    </w:p>
    <w:p>
      <w:pPr>
        <w:spacing w:before="0" w:after="60" w:line="252" w:lineRule="auto"/>
        <w:jc w:val="both"/>
      </w:pPr>
      <w:r>
        <w:rPr>
          <w:rFonts w:ascii="Times New Roman" w:hAnsi="Times New Roman"/>
          <w:b w:val="0"/>
          <w:i w:val="0"/>
          <w:color w:val="000000"/>
          <w:sz w:val="17"/>
        </w:rPr>
        <w:t>2) Interactive Web Gateway Interface: The production webmail simulation client and real-time administrative threat monitoring dashboard operate locally on host port 5173 (http://localhost:5173).</w:t>
      </w:r>
    </w:p>
    <w:p>
      <w:pPr>
        <w:spacing w:before="0" w:after="60" w:line="252" w:lineRule="auto"/>
        <w:jc w:val="both"/>
      </w:pPr>
      <w:r>
        <w:rPr>
          <w:rFonts w:ascii="Times New Roman" w:hAnsi="Times New Roman"/>
          <w:b w:val="0"/>
          <w:i w:val="0"/>
          <w:color w:val="000000"/>
          <w:sz w:val="17"/>
        </w:rPr>
        <w:t>3) Gateway REST API Documentation: Automated interactive OpenAPI/Swagger specification endpoints are exposed directly at http://localhost:8000/docs for external SIEM and SOAR forensic integration.</w:t>
      </w:r>
    </w:p>
    <w:p>
      <w:pPr>
        <w:spacing w:before="0" w:after="60" w:line="252" w:lineRule="auto"/>
        <w:jc w:val="both"/>
      </w:pPr>
      <w:r>
        <w:rPr>
          <w:rFonts w:ascii="Times New Roman" w:hAnsi="Times New Roman"/>
          <w:b w:val="0"/>
          <w:i w:val="0"/>
          <w:color w:val="000000"/>
          <w:sz w:val="17"/>
        </w:rPr>
        <w:t>4) Cryptographic DoH Resolvers: Real-time DNS verification routes RFC 8484 queries to Cloudflare Primary (https://cloudflare-dns.com/dns-query) and Google Public DNS (https://dns.google/resolve) over TLS 1.3 [10].</w:t>
      </w:r>
    </w:p>
    <w:p>
      <w:pPr>
        <w:spacing w:before="0" w:after="60" w:line="252" w:lineRule="auto"/>
        <w:jc w:val="both"/>
      </w:pPr>
      <w:r>
        <w:rPr>
          <w:rFonts w:ascii="Times New Roman" w:hAnsi="Times New Roman"/>
          <w:b w:val="0"/>
          <w:i w:val="0"/>
          <w:color w:val="000000"/>
          <w:sz w:val="17"/>
        </w:rPr>
        <w:t>5) Threat Intelligence Engine: Tier 2 multi-engine sandbox inspection integrates with the VirusTotal v3 REST API (https://developers.virustotal.com/reference/overview) across 87+ commercial antivirus engines [24].</w:t>
      </w:r>
    </w:p>
    <w:p>
      <w:pPr>
        <w:spacing w:before="0" w:after="60" w:line="252" w:lineRule="auto"/>
        <w:jc w:val="both"/>
      </w:pPr>
      <w:r>
        <w:rPr>
          <w:rFonts w:ascii="Times New Roman" w:hAnsi="Times New Roman"/>
          <w:b w:val="0"/>
          <w:i w:val="0"/>
          <w:color w:val="000000"/>
          <w:sz w:val="17"/>
        </w:rPr>
        <w:t>6) Public Benchmark Data Repositories: Standardized evaluation datasets utilized in this study are permanently hosted at: Nazario Phishing Corpus (https://monkey.org/~jose/phishing/), CMU Enron Archive (https://www.cs.cmu.edu/~./enron/), PhishTank (https://phishtank.org/), and Unicode Security TR#39 Confusables (https://www.unicode.org/Public/security/latest/confusables.txt).</w:t>
      </w:r>
    </w:p>
    <w:p>
      <w:pPr>
        <w:spacing w:before="160" w:after="50" w:line="252" w:lineRule="auto"/>
        <w:jc w:val="left"/>
      </w:pPr>
      <w:r>
        <w:rPr>
          <w:rFonts w:ascii="Times New Roman" w:hAnsi="Times New Roman"/>
          <w:b/>
          <w:i w:val="0"/>
          <w:color w:val="000000"/>
          <w:sz w:val="19"/>
        </w:rPr>
        <w:t>XIII. LIMITATIONS AND ADVERSARIAL RESILIENCE CONSIDERATIONS</w:t>
      </w:r>
    </w:p>
    <w:p>
      <w:pPr>
        <w:spacing w:before="0" w:after="60" w:line="252" w:lineRule="auto"/>
        <w:jc w:val="both"/>
      </w:pPr>
      <w:r>
        <w:rPr>
          <w:rFonts w:ascii="Times New Roman" w:hAnsi="Times New Roman"/>
          <w:b w:val="0"/>
          <w:i w:val="0"/>
          <w:color w:val="000000"/>
          <w:sz w:val="17"/>
        </w:rPr>
        <w:t>While SecureMail improves upon traditional boundary defenses, several operational and threat model limitations must be noted: 1) Adversarial QR Distortion: Adversaries may apply intentional micro-perturbations or fragmented dot matrices that fall below Otsu thresholding tolerances, requiring future integration of lightweight neural super-resolution models [17], [19]; 2) Delayed Ephemeral Redirects: Malicious QR codes can point to intermediate domains that serve benign pages during automated scanner inspection, redirecting to credential harvesters only after user interaction or specific mobile user-agent headers [18]; 3) Compromised Trusted Accounts: In Business Email Compromise (BEC) scenarios where an attacker sends mail from an authentic corporate mailbox passing SPF, DKIM, and DMARC, the Authentic Sender Discount D_auth will apply, placing the defense burden on stylometric NLP safeguards [25]; and 4) Client Hardware Load: Rapid continuous inbox scrolling on low-spec client machines can cause brief CPU spikes (3-5%) from DOM mutation observers, which we counter through 250 ms event debouncing.</w:t>
      </w:r>
    </w:p>
    <w:p>
      <w:pPr>
        <w:spacing w:before="160" w:after="50" w:line="252" w:lineRule="auto"/>
        <w:jc w:val="left"/>
      </w:pPr>
      <w:r>
        <w:rPr>
          <w:rFonts w:ascii="Times New Roman" w:hAnsi="Times New Roman"/>
          <w:b/>
          <w:i w:val="0"/>
          <w:color w:val="000000"/>
          <w:sz w:val="19"/>
        </w:rPr>
        <w:t>XIV. FUTURE WORK</w:t>
      </w:r>
    </w:p>
    <w:p>
      <w:pPr>
        <w:spacing w:before="0" w:after="60" w:line="252" w:lineRule="auto"/>
        <w:jc w:val="both"/>
      </w:pPr>
      <w:r>
        <w:rPr>
          <w:rFonts w:ascii="Times New Roman" w:hAnsi="Times New Roman"/>
          <w:b w:val="0"/>
          <w:i w:val="0"/>
          <w:color w:val="000000"/>
          <w:sz w:val="17"/>
        </w:rPr>
        <w:t>Based on our empirical results, we outline five key engineering directions: 1) On-Device Quantized Transformers: Embedding quantized DistilBERT or RoBERTa models (INT8/ONNX) directly within the browser runtime to counter generative LLM phishing [20], [21]; 2) Native SMTP Milter Integration: Developing high-throughput C/Python Milter daemons for Postfix and Microsoft Exchange gateways; 3) Sandboxed Detonation: Integrating microVM containers for zero-day attachment behavioral analysis [24]; 4) Consortium Threat Sharing: Evaluating privacy-preserving threat intelligence sharing across academic institutions; and 5) Browser Portability: Expanding support from Chromium Manifest V3 to Firefox WebExtensions and Apple Safari.</w:t>
      </w:r>
    </w:p>
    <w:p>
      <w:pPr>
        <w:spacing w:before="160" w:after="50" w:line="252" w:lineRule="auto"/>
        <w:jc w:val="left"/>
      </w:pPr>
      <w:r>
        <w:rPr>
          <w:rFonts w:ascii="Times New Roman" w:hAnsi="Times New Roman"/>
          <w:b/>
          <w:i w:val="0"/>
          <w:color w:val="000000"/>
          <w:sz w:val="19"/>
        </w:rPr>
        <w:t>XV. CONCLUSION</w:t>
      </w:r>
    </w:p>
    <w:p>
      <w:pPr>
        <w:spacing w:before="0" w:after="60" w:line="252" w:lineRule="auto"/>
        <w:jc w:val="both"/>
      </w:pPr>
      <w:r>
        <w:rPr>
          <w:rFonts w:ascii="Times New Roman" w:hAnsi="Times New Roman"/>
          <w:b w:val="0"/>
          <w:i w:val="0"/>
          <w:color w:val="000000"/>
          <w:sz w:val="17"/>
        </w:rPr>
        <w:t>In this work, we developed and validated SecureMail-a tri-modal zero-trust email security gateway designed to neutralize modern optical quishing, generative AI lures, IDN homoglyphs, and perimeter visibility gaps. By fusing client-edge DOM mutation capture with automated OpenCV computer vision QR decoding and TLS 1.3 DNS-over-HTTPS provenance verification, SecureMail overcomes the fundamental blind spots of text-only filters and legacy SEGs. The Authentic Sender Discount (D_auth = 0.22) eliminates alert fatigue by driving false alarms on urgent benign messages down to 0.95%. Evaluated against a 5,000-sample benchmark corpus, SecureMail Tier 1 delivers 97.87% accuracy and 98.4% quishing recall with an average local execution latency of 110 ms, while Tier 2 Deep Scan achieves 99.8% detection across 87 antivirus engines. The system offers a practical, computationally lightweight, and mathematically grounded blueprint for next-generation enterprise email defense.</w:t>
      </w:r>
    </w:p>
    <w:p>
      <w:pPr>
        <w:spacing w:before="160" w:after="50" w:line="252" w:lineRule="auto"/>
        <w:jc w:val="left"/>
      </w:pPr>
      <w:r>
        <w:rPr>
          <w:rFonts w:ascii="Times New Roman" w:hAnsi="Times New Roman"/>
          <w:b/>
          <w:i w:val="0"/>
          <w:color w:val="000000"/>
          <w:sz w:val="19"/>
        </w:rPr>
        <w:t>REFERENCES</w:t>
      </w:r>
    </w:p>
    <w:p>
      <w:pPr>
        <w:spacing w:before="0" w:after="30" w:line="240" w:lineRule="auto"/>
        <w:jc w:val="both"/>
      </w:pPr>
      <w:r>
        <w:rPr>
          <w:rFonts w:ascii="Times New Roman" w:hAnsi="Times New Roman"/>
          <w:b w:val="0"/>
          <w:i w:val="0"/>
          <w:color w:val="000000"/>
          <w:sz w:val="14"/>
        </w:rPr>
        <w:t>[1] P. Kumar, S. Gupta, and B. Panda, "A comprehensive survey on email spoofing, phishing attacks, and defense mechanisms," IEEE Communications Surveys &amp; Tutorials, vol. 24, no. 2, pp. 1120-1151, 2022.</w:t>
      </w:r>
    </w:p>
    <w:p>
      <w:pPr>
        <w:spacing w:before="0" w:after="30" w:line="240" w:lineRule="auto"/>
        <w:jc w:val="both"/>
      </w:pPr>
      <w:r>
        <w:rPr>
          <w:rFonts w:ascii="Times New Roman" w:hAnsi="Times New Roman"/>
          <w:b w:val="0"/>
          <w:i w:val="0"/>
          <w:color w:val="000000"/>
          <w:sz w:val="14"/>
        </w:rPr>
        <w:t>[2] I. Fette, N. Sadeh, and A. Tomasic, "Learning to detect phishing emails," in Proc. 16th Int. Conf. on World Wide Web (WWW), 2007, pp. 649-656.</w:t>
      </w:r>
    </w:p>
    <w:p>
      <w:pPr>
        <w:spacing w:before="0" w:after="30" w:line="240" w:lineRule="auto"/>
        <w:jc w:val="both"/>
      </w:pPr>
      <w:r>
        <w:rPr>
          <w:rFonts w:ascii="Times New Roman" w:hAnsi="Times New Roman"/>
          <w:b w:val="0"/>
          <w:i w:val="0"/>
          <w:color w:val="000000"/>
          <w:sz w:val="14"/>
        </w:rPr>
        <w:t>[3] F. Toolan and J. Carthy, "Feature selection for machine learning in email phishing detection," Computers &amp; Security, vol. 29, no. 7, pp. 807-814, 2010.</w:t>
      </w:r>
    </w:p>
    <w:p>
      <w:pPr>
        <w:spacing w:before="0" w:after="30" w:line="240" w:lineRule="auto"/>
        <w:jc w:val="both"/>
      </w:pPr>
      <w:r>
        <w:rPr>
          <w:rFonts w:ascii="Times New Roman" w:hAnsi="Times New Roman"/>
          <w:b w:val="0"/>
          <w:i w:val="0"/>
          <w:color w:val="000000"/>
          <w:sz w:val="14"/>
        </w:rPr>
        <w:t>[4] R. Basnet, S. Mukkamala, and A. H. Sung, "Detection of phishing attacks: A machine learning approach," in Proc. Int. Conf. on Artificial Intelligence (ICAI), 2008, pp. 373-379.</w:t>
      </w:r>
    </w:p>
    <w:p>
      <w:pPr>
        <w:spacing w:before="0" w:after="30" w:line="240" w:lineRule="auto"/>
        <w:jc w:val="both"/>
      </w:pPr>
      <w:r>
        <w:rPr>
          <w:rFonts w:ascii="Times New Roman" w:hAnsi="Times New Roman"/>
          <w:b w:val="0"/>
          <w:i w:val="0"/>
          <w:color w:val="000000"/>
          <w:sz w:val="14"/>
        </w:rPr>
        <w:t>[5] J. Nazario, "Phishing corpus: Public collection of phishing emails," http://monkey.org/~jose/phishing/, 2006.</w:t>
      </w:r>
    </w:p>
    <w:p>
      <w:pPr>
        <w:spacing w:before="0" w:after="30" w:line="240" w:lineRule="auto"/>
        <w:jc w:val="both"/>
      </w:pPr>
      <w:r>
        <w:rPr>
          <w:rFonts w:ascii="Times New Roman" w:hAnsi="Times New Roman"/>
          <w:b w:val="0"/>
          <w:i w:val="0"/>
          <w:color w:val="000000"/>
          <w:sz w:val="14"/>
        </w:rPr>
        <w:t>[6] M. Vasek, J. Wadleigh, and N. Christin, "Quishing in the wild: Characterizing QR code phishing campaigns and optical evasion techniques," in Proc. ACM SIGSAC Conf. on Computer and Communications Security (CCS), 2023, pp. 889-903.</w:t>
      </w:r>
    </w:p>
    <w:p>
      <w:pPr>
        <w:spacing w:before="0" w:after="30" w:line="240" w:lineRule="auto"/>
        <w:jc w:val="both"/>
      </w:pPr>
      <w:r>
        <w:rPr>
          <w:rFonts w:ascii="Times New Roman" w:hAnsi="Times New Roman"/>
          <w:b w:val="0"/>
          <w:i w:val="0"/>
          <w:color w:val="000000"/>
          <w:sz w:val="14"/>
        </w:rPr>
        <w:t>[7] E. Osterweil, M. Larson, and D. Massey, "DNS-over-HTTPS (DoH) in practice: Performance, privacy, and security implications," IEEE Internet Computing, vol. 26, no. 1, pp. 48-57, 2022.</w:t>
      </w:r>
    </w:p>
    <w:p>
      <w:pPr>
        <w:spacing w:before="0" w:after="30" w:line="240" w:lineRule="auto"/>
        <w:jc w:val="both"/>
      </w:pPr>
      <w:r>
        <w:rPr>
          <w:rFonts w:ascii="Times New Roman" w:hAnsi="Times New Roman"/>
          <w:b w:val="0"/>
          <w:i w:val="0"/>
          <w:color w:val="000000"/>
          <w:sz w:val="14"/>
        </w:rPr>
        <w:t>[8] M. Foster, R. Johnson, and H. Lee, "Empirical evaluation of DMARC, SPF, and DKIM adoption across enterprise networks," IEEE Transactions on Information Forensics and Security, vol. 18, pp. 2410-2423, 2023.</w:t>
      </w:r>
    </w:p>
    <w:p>
      <w:pPr>
        <w:spacing w:before="0" w:after="30" w:line="240" w:lineRule="auto"/>
        <w:jc w:val="both"/>
      </w:pPr>
      <w:r>
        <w:rPr>
          <w:rFonts w:ascii="Times New Roman" w:hAnsi="Times New Roman"/>
          <w:b w:val="0"/>
          <w:i w:val="0"/>
          <w:color w:val="000000"/>
          <w:sz w:val="14"/>
        </w:rPr>
        <w:t>[9] H. Chen, T. Zhang, and L. Wang, "Optical phishing detection via computer vision and deep feature embedding," IEEE Access, vol. 12, pp. 45120-45134, 2024.</w:t>
      </w:r>
    </w:p>
    <w:p>
      <w:pPr>
        <w:spacing w:before="0" w:after="30" w:line="240" w:lineRule="auto"/>
        <w:jc w:val="both"/>
      </w:pPr>
      <w:r>
        <w:rPr>
          <w:rFonts w:ascii="Times New Roman" w:hAnsi="Times New Roman"/>
          <w:b w:val="0"/>
          <w:i w:val="0"/>
          <w:color w:val="000000"/>
          <w:sz w:val="14"/>
        </w:rPr>
        <w:t>[10] P. Hoffman and P. McManus, "DNS Queries over HTTPS (DoH)," IETF RFC 8484, 2018.</w:t>
      </w:r>
    </w:p>
    <w:p>
      <w:pPr>
        <w:spacing w:before="0" w:after="30" w:line="240" w:lineRule="auto"/>
        <w:jc w:val="both"/>
      </w:pPr>
      <w:r>
        <w:rPr>
          <w:rFonts w:ascii="Times New Roman" w:hAnsi="Times New Roman"/>
          <w:b w:val="0"/>
          <w:i w:val="0"/>
          <w:color w:val="000000"/>
          <w:sz w:val="14"/>
        </w:rPr>
        <w:t>[11] E. Rescorla, "The Transport Layer Security (TLS) Protocol Version 1.3," IETF RFC 8446, 2018.</w:t>
      </w:r>
    </w:p>
    <w:p>
      <w:pPr>
        <w:spacing w:before="0" w:after="30" w:line="240" w:lineRule="auto"/>
        <w:jc w:val="both"/>
      </w:pPr>
      <w:r>
        <w:rPr>
          <w:rFonts w:ascii="Times New Roman" w:hAnsi="Times New Roman"/>
          <w:b w:val="0"/>
          <w:i w:val="0"/>
          <w:color w:val="000000"/>
          <w:sz w:val="14"/>
        </w:rPr>
        <w:t>[12] S. Kitterman, "Sender Policy Framework (SPF) for Authorizing Use of Domains in Email," IETF RFC 7208, 2014.</w:t>
      </w:r>
    </w:p>
    <w:p>
      <w:pPr>
        <w:spacing w:before="0" w:after="30" w:line="240" w:lineRule="auto"/>
        <w:jc w:val="both"/>
      </w:pPr>
      <w:r>
        <w:rPr>
          <w:rFonts w:ascii="Times New Roman" w:hAnsi="Times New Roman"/>
          <w:b w:val="0"/>
          <w:i w:val="0"/>
          <w:color w:val="000000"/>
          <w:sz w:val="14"/>
        </w:rPr>
        <w:t>[13] D. Crocker, T. Hansen, and M. Kucherawy, "DomainKeys Identified Mail (DKIM) Signatures," IETF RFC 6376, 2011.</w:t>
      </w:r>
    </w:p>
    <w:p>
      <w:pPr>
        <w:spacing w:before="0" w:after="30" w:line="240" w:lineRule="auto"/>
        <w:jc w:val="both"/>
      </w:pPr>
      <w:r>
        <w:rPr>
          <w:rFonts w:ascii="Times New Roman" w:hAnsi="Times New Roman"/>
          <w:b w:val="0"/>
          <w:i w:val="0"/>
          <w:color w:val="000000"/>
          <w:sz w:val="14"/>
        </w:rPr>
        <w:t>[14] M. Kucherawy and E. Zwicky, "Domain-based Message Authentication, Reporting, and Conformance (DMARC)," IETF RFC 7489, 2015.</w:t>
      </w:r>
    </w:p>
    <w:p>
      <w:pPr>
        <w:spacing w:before="0" w:after="30" w:line="240" w:lineRule="auto"/>
        <w:jc w:val="both"/>
      </w:pPr>
      <w:r>
        <w:rPr>
          <w:rFonts w:ascii="Times New Roman" w:hAnsi="Times New Roman"/>
          <w:b w:val="0"/>
          <w:i w:val="0"/>
          <w:color w:val="000000"/>
          <w:sz w:val="14"/>
        </w:rPr>
        <w:t>[15] K. Kucherawy, J. Levine, and M. Kucherawy, "Authenticated Received Chain (ARC) Protocol," IETF RFC 8617, 2019.</w:t>
      </w:r>
    </w:p>
    <w:p>
      <w:pPr>
        <w:spacing w:before="0" w:after="30" w:line="240" w:lineRule="auto"/>
        <w:jc w:val="both"/>
      </w:pPr>
      <w:r>
        <w:rPr>
          <w:rFonts w:ascii="Times New Roman" w:hAnsi="Times New Roman"/>
          <w:b w:val="0"/>
          <w:i w:val="0"/>
          <w:color w:val="000000"/>
          <w:sz w:val="14"/>
        </w:rPr>
        <w:t>[16] M. A. Al-Daeef, N. Basir, and M. Saudi, "Machine learning approaches for phishing email detection: A comprehensive benchmark," IEEE Access, vol. 9, pp. 168541-168553, 2021.</w:t>
      </w:r>
    </w:p>
    <w:p>
      <w:pPr>
        <w:spacing w:before="0" w:after="30" w:line="240" w:lineRule="auto"/>
        <w:jc w:val="both"/>
      </w:pPr>
      <w:r>
        <w:rPr>
          <w:rFonts w:ascii="Times New Roman" w:hAnsi="Times New Roman"/>
          <w:b w:val="0"/>
          <w:i w:val="0"/>
          <w:color w:val="000000"/>
          <w:sz w:val="14"/>
        </w:rPr>
        <w:t>[17] J. Park, K. Lee, and S. Kim, "QuishFormer: Multi-format transformer framework for heterogeneous QR phishing detection," Journal of Information Security and Applications (Elsevier), vol. 88, p. 103982, 2026.</w:t>
      </w:r>
    </w:p>
    <w:p>
      <w:pPr>
        <w:spacing w:before="0" w:after="30" w:line="240" w:lineRule="auto"/>
        <w:jc w:val="both"/>
      </w:pPr>
      <w:r>
        <w:rPr>
          <w:rFonts w:ascii="Times New Roman" w:hAnsi="Times New Roman"/>
          <w:b w:val="0"/>
          <w:i w:val="0"/>
          <w:color w:val="000000"/>
          <w:sz w:val="14"/>
        </w:rPr>
        <w:t>[18] L. Zhang, Y. Wang, and M. Christin, "Large-scale empirical analysis of QR code phishing campaigns and user susceptibility," in Proc. 20th ACM ASIA Conf. on Computer and Communications Security (ASIA CCS), 2025, pp. 412-426.</w:t>
      </w:r>
    </w:p>
    <w:p>
      <w:pPr>
        <w:spacing w:before="0" w:after="30" w:line="240" w:lineRule="auto"/>
        <w:jc w:val="both"/>
      </w:pPr>
      <w:r>
        <w:rPr>
          <w:rFonts w:ascii="Times New Roman" w:hAnsi="Times New Roman"/>
          <w:b w:val="0"/>
          <w:i w:val="0"/>
          <w:color w:val="000000"/>
          <w:sz w:val="14"/>
        </w:rPr>
        <w:t>[19] R. V. Martinez and D. Alvarez, "Self-authenticating dual-modulated QR codes for phishing prevention," IEEE Security &amp; Privacy, vol. 23, no. 1, pp. 34-43, 2025.</w:t>
      </w:r>
    </w:p>
    <w:p>
      <w:pPr>
        <w:spacing w:before="0" w:after="30" w:line="240" w:lineRule="auto"/>
        <w:jc w:val="both"/>
      </w:pPr>
      <w:r>
        <w:rPr>
          <w:rFonts w:ascii="Times New Roman" w:hAnsi="Times New Roman"/>
          <w:b w:val="0"/>
          <w:i w:val="0"/>
          <w:color w:val="000000"/>
          <w:sz w:val="14"/>
        </w:rPr>
        <w:t>[20] A. Sharma, P. K. Singh, and V. Rastogi, "Context-aware hybrid framework integrating DistilBERT, CNN-LSTM, and explainable AI for sophisticated phishing detection," in Proc. 17th IEEE Int. Conf. on Contemporary Computing (IC3), 2025, pp. 112-119.</w:t>
      </w:r>
    </w:p>
    <w:p>
      <w:pPr>
        <w:spacing w:before="0" w:after="30" w:line="240" w:lineRule="auto"/>
        <w:jc w:val="both"/>
      </w:pPr>
      <w:r>
        <w:rPr>
          <w:rFonts w:ascii="Times New Roman" w:hAnsi="Times New Roman"/>
          <w:b w:val="0"/>
          <w:i w:val="0"/>
          <w:color w:val="000000"/>
          <w:sz w:val="14"/>
        </w:rPr>
        <w:t>[21] S. Roy, N. Das, and K. Chatterjee, "E-PhishGEN: Evaluating and mitigating generative large language model phishing attacks," in Proc. ACM Conf. on Computer and Communications Security (CCS), 2026, pp. 581-596.</w:t>
      </w:r>
    </w:p>
    <w:p>
      <w:pPr>
        <w:spacing w:before="0" w:after="30" w:line="240" w:lineRule="auto"/>
        <w:jc w:val="both"/>
      </w:pPr>
      <w:r>
        <w:rPr>
          <w:rFonts w:ascii="Times New Roman" w:hAnsi="Times New Roman"/>
          <w:b w:val="0"/>
          <w:i w:val="0"/>
          <w:color w:val="000000"/>
          <w:sz w:val="14"/>
        </w:rPr>
        <w:t>[22] T. Nguyen, H. Tran, and E. Dubois, "Stylometric and deep semantic detection of generative AI phishing emails," Expert Systems with Applications (Elsevier), vol. 248, p. 123491, 2025.</w:t>
      </w:r>
    </w:p>
    <w:p>
      <w:pPr>
        <w:spacing w:before="0" w:after="30" w:line="240" w:lineRule="auto"/>
        <w:jc w:val="both"/>
      </w:pPr>
      <w:r>
        <w:rPr>
          <w:rFonts w:ascii="Times New Roman" w:hAnsi="Times New Roman"/>
          <w:b w:val="0"/>
          <w:i w:val="0"/>
          <w:color w:val="000000"/>
          <w:sz w:val="14"/>
        </w:rPr>
        <w:t>[23] Y. Zhang, C. Shen, and K. Ren, "Understanding and characterizing the adoption of internationalized domain names in practice: Detection of IDN homograph attacks," IEEE Transactions on Dependable and Secure Computing, vol. 22, no. 1, pp. 182-196, 2024.</w:t>
      </w:r>
    </w:p>
    <w:p>
      <w:pPr>
        <w:spacing w:before="0" w:after="30" w:line="240" w:lineRule="auto"/>
        <w:jc w:val="both"/>
      </w:pPr>
      <w:r>
        <w:rPr>
          <w:rFonts w:ascii="Times New Roman" w:hAnsi="Times New Roman"/>
          <w:b w:val="0"/>
          <w:i w:val="0"/>
          <w:color w:val="000000"/>
          <w:sz w:val="14"/>
        </w:rPr>
        <w:t>[24] D. Patel, M. Joshi, and A. Shah, "Integrating cyber threat intelligence and email header forensics into gateway architectures for zero-trust phishing prevention," IEEE Access, vol. 14, pp. 18450-18465, 2026.</w:t>
      </w:r>
    </w:p>
    <w:p>
      <w:pPr>
        <w:spacing w:before="0" w:after="30" w:line="240" w:lineRule="auto"/>
        <w:jc w:val="both"/>
      </w:pPr>
      <w:r>
        <w:rPr>
          <w:rFonts w:ascii="Times New Roman" w:hAnsi="Times New Roman"/>
          <w:b w:val="0"/>
          <w:i w:val="0"/>
          <w:color w:val="000000"/>
          <w:sz w:val="14"/>
        </w:rPr>
        <w:t>[25] K. Al-Hubaishi, B. Mohammad, and F. Saeed, "A dual-path deep learning and header provenance framework for business email compromise (BEC) detection," IEEE Access, vol. 13, pp. 31205-31219, 2025.</w:t>
      </w:r>
    </w:p>
    <w:p>
      <w:pPr>
        <w:spacing w:before="0" w:after="30" w:line="240" w:lineRule="auto"/>
        <w:jc w:val="both"/>
      </w:pPr>
      <w:r>
        <w:rPr>
          <w:rFonts w:ascii="Times New Roman" w:hAnsi="Times New Roman"/>
          <w:b w:val="0"/>
          <w:i w:val="0"/>
          <w:color w:val="000000"/>
          <w:sz w:val="14"/>
        </w:rPr>
        <w:t>[26] G. Carle, F. Valenza, and M. Trevisan, "Empirical evaluation of forward-confirmed reverse DNS and cryptographic DNS-over-HTTPS in automated email authentication," in Proc. Network Traffic Measurement and Analysis Conf. (TMA), 2025, pp. 78-89.</w:t>
      </w:r>
    </w:p>
    <w:p>
      <w:pPr>
        <w:spacing w:before="0" w:after="30" w:line="240" w:lineRule="auto"/>
        <w:jc w:val="both"/>
      </w:pPr>
      <w:r>
        <w:rPr>
          <w:rFonts w:ascii="Times New Roman" w:hAnsi="Times New Roman"/>
          <w:b w:val="0"/>
          <w:i w:val="0"/>
          <w:color w:val="000000"/>
          <w:sz w:val="14"/>
        </w:rPr>
        <w:t>[27] B. Klimt and Y. Yang, "The Enron corpus: A new dataset for email classification research," in Proc. European Conf. on Machine Learning (ECML), 2004, pp. 217-226.</w:t>
      </w:r>
    </w:p>
    <w:p>
      <w:pPr>
        <w:spacing w:before="0" w:after="30" w:line="240" w:lineRule="auto"/>
        <w:jc w:val="both"/>
      </w:pPr>
      <w:r>
        <w:rPr>
          <w:rFonts w:ascii="Times New Roman" w:hAnsi="Times New Roman"/>
          <w:b w:val="0"/>
          <w:i w:val="0"/>
          <w:color w:val="000000"/>
          <w:sz w:val="14"/>
        </w:rPr>
        <w:t>[28] Unicode Consortium, "Unicode Technical Report #39: Unicode Security Considerations," https://www.unicode.org/reports/tr39/, 2024.</w:t>
      </w:r>
    </w:p>
    <w:sectPr w:rsidR="00FC693F" w:rsidRPr="0006063C" w:rsidSect="00034616">
      <w:type w:val="continuous"/>
      <w:pgSz w:w="12240" w:h="15840"/>
      <w:pgMar w:top="1008" w:right="936" w:bottom="1008" w:left="936" w:header="720" w:footer="720" w:gutter="0"/>
      <w:docGrid w:linePitch="360"/>
      <w:cols w:num="2" w:space="4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