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F172A"/>
          <w:sz w:val="33"/>
        </w:rPr>
        <w:t>SecureMail: A Tri-Modal Hybrid Email Security Gateway and Forensics Framework for Zero-Trust Phishing and Optical Quishing Mitigation</w:t>
      </w:r>
    </w:p>
    <w:p>
      <w:pPr>
        <w:spacing w:before="0" w:after="20"/>
        <w:jc w:val="center"/>
      </w:pPr>
      <w:r>
        <w:rPr>
          <w:rFonts w:ascii="Times New Roman" w:hAnsi="Times New Roman"/>
          <w:b/>
          <w:sz w:val="20"/>
        </w:rPr>
        <w:t>Samir Khurshid</w:t>
      </w:r>
      <w:r>
        <w:rPr>
          <w:rFonts w:ascii="Times New Roman" w:hAnsi="Times New Roman"/>
          <w:sz w:val="19"/>
        </w:rPr>
        <w:t xml:space="preserve"> (2303031260196)             </w:t>
      </w:r>
      <w:r>
        <w:rPr>
          <w:rFonts w:ascii="Times New Roman" w:hAnsi="Times New Roman"/>
          <w:b/>
          <w:sz w:val="20"/>
        </w:rPr>
        <w:t>M Harshith Chowdary</w:t>
      </w:r>
      <w:r>
        <w:rPr>
          <w:rFonts w:ascii="Times New Roman" w:hAnsi="Times New Roman"/>
          <w:sz w:val="19"/>
        </w:rPr>
        <w:t xml:space="preserve"> (2303031260149)</w:t>
        <w:br/>
      </w:r>
      <w:r>
        <w:rPr>
          <w:rFonts w:ascii="Times New Roman" w:hAnsi="Times New Roman"/>
          <w:color w:val="475569"/>
          <w:sz w:val="17"/>
        </w:rPr>
        <w:t>2303031260196@paruluniversity.ac.in             2303031260149@paruluniversity.ac.in</w:t>
      </w:r>
    </w:p>
    <w:p>
      <w:pPr>
        <w:spacing w:before="40" w:after="20"/>
        <w:jc w:val="center"/>
      </w:pPr>
      <w:r>
        <w:rPr>
          <w:rFonts w:ascii="Times New Roman" w:hAnsi="Times New Roman"/>
          <w:b/>
          <w:sz w:val="20"/>
        </w:rPr>
        <w:t>Aman Kumar</w:t>
      </w:r>
      <w:r>
        <w:rPr>
          <w:rFonts w:ascii="Times New Roman" w:hAnsi="Times New Roman"/>
          <w:sz w:val="19"/>
        </w:rPr>
        <w:t xml:space="preserve"> (2303031260009)             </w:t>
      </w:r>
      <w:r>
        <w:rPr>
          <w:rFonts w:ascii="Times New Roman" w:hAnsi="Times New Roman"/>
          <w:b/>
          <w:sz w:val="20"/>
        </w:rPr>
        <w:t>M. Prem Sai</w:t>
      </w:r>
      <w:r>
        <w:rPr>
          <w:rFonts w:ascii="Times New Roman" w:hAnsi="Times New Roman"/>
          <w:sz w:val="19"/>
        </w:rPr>
        <w:t xml:space="preserve"> (2303031260145)</w:t>
        <w:br/>
      </w:r>
      <w:r>
        <w:rPr>
          <w:rFonts w:ascii="Times New Roman" w:hAnsi="Times New Roman"/>
          <w:color w:val="475569"/>
          <w:sz w:val="17"/>
        </w:rPr>
        <w:t>2303031260009@paruluniversity.ac.in             2303031260145@paruluniversity.ac.in</w:t>
      </w:r>
    </w:p>
    <w:p>
      <w:pPr>
        <w:spacing w:before="60" w:after="160"/>
        <w:jc w:val="center"/>
      </w:pPr>
      <w:r>
        <w:rPr>
          <w:rFonts w:ascii="Times New Roman" w:hAnsi="Times New Roman"/>
          <w:i/>
          <w:sz w:val="18"/>
        </w:rPr>
        <w:t>Department of Computer Science and Engineering, Parul University, Vadodara, Gujarat, India</w:t>
        <w:br/>
      </w:r>
      <w:r>
        <w:rPr>
          <w:rFonts w:ascii="Times New Roman" w:hAnsi="Times New Roman"/>
          <w:b/>
          <w:sz w:val="18"/>
        </w:rPr>
        <w:t>Project Guide: Prof. Akash Patel, Department of CSE (Cyber Security), Parul Institute of Engineering and Technology (PIET)</w:t>
      </w:r>
    </w:p>
    <w:p>
      <w:pPr>
        <w:sectPr>
          <w:pgSz w:w="12240" w:h="15840"/>
          <w:pgMar w:top="1008" w:right="936" w:bottom="1008" w:left="936" w:header="720" w:footer="720" w:gutter="0"/>
          <w:cols w:space="720"/>
          <w:docGrid w:linePitch="360"/>
        </w:sectPr>
      </w:pPr>
    </w:p>
    <w:p>
      <w:pPr>
        <w:spacing w:before="0" w:after="60" w:line="252" w:lineRule="auto"/>
        <w:jc w:val="both"/>
      </w:pPr>
      <w:r>
        <w:rPr>
          <w:rFonts w:ascii="Times New Roman" w:hAnsi="Times New Roman"/>
          <w:b/>
          <w:i/>
          <w:sz w:val="17"/>
        </w:rPr>
        <w:t xml:space="preserve">Abstract— </w:t>
      </w:r>
      <w:r>
        <w:rPr>
          <w:rFonts w:ascii="Times New Roman" w:hAnsi="Times New Roman"/>
          <w:b/>
          <w:sz w:val="17"/>
        </w:rPr>
        <w:t>Electronic mail remains the primary entry point for credential harvesting and targeted social engineering attacks. While established classifiers such as Naive Bayes, Support Vector Machines (SVM), and Random Forest achieve acceptable accuracy on legacy text corpora, our practical testing reveals two persistent failure modes in enterprise settings: (1) total blindness to optical quishing (QR code phishing), where malicious links are stored in visual 2D matrices that bypass text-based feature extractors (yielding 31.3%–51.3% recall); and (2) high false positive rates (8.94%) caused by penalizing legitimate administrative circulars that use urgent phrasing. In this paper, we develop SecureMail, a Tri-Modal Hybrid Threat Detection Framework (TM-HTDF). SecureMail unifies three defensive layers: (i) an engineered NLP intent scorer evaluating 30 structural and semantic properties; (ii) an optical quishing detonation pipeline using adaptive OpenCV thresholding and pyzbar 2D matrix decoding; and (iii) real-time DNS-over-HTTPS (DoH) queries to verify authoritative SPF, DKIM, and DMARC records. To eliminate false alarms on critical notices, we introduce the Authentic Sender Discount (D_auth), which offsets lexical threat scores when cryptographic provenance is confirmed. Evaluated against established baselines on a 5,000-email benchmark corpus, SecureMail achieves 97.87% Accuracy, 99.06% Precision, 96.72% Recall, 97.88% F1-score, 96.7% Quishing Recall, and reduces false positives on urgent emails to 0.95% with 4.12 ms end-to-end processing latency.</w:t>
      </w:r>
    </w:p>
    <w:p>
      <w:pPr>
        <w:spacing w:before="0" w:after="100" w:line="252" w:lineRule="auto"/>
        <w:jc w:val="both"/>
      </w:pPr>
      <w:r>
        <w:rPr>
          <w:rFonts w:ascii="Times New Roman" w:hAnsi="Times New Roman"/>
          <w:b/>
          <w:i/>
          <w:sz w:val="17"/>
        </w:rPr>
        <w:t xml:space="preserve">Index Terms— </w:t>
      </w:r>
      <w:r>
        <w:rPr>
          <w:rFonts w:ascii="Times New Roman" w:hAnsi="Times New Roman"/>
          <w:b/>
          <w:sz w:val="17"/>
        </w:rPr>
        <w:t>Email security, optical quishing, QR code forensics, DNS-over-HTTPS (DoH), machine learning benchmark, SPF/DKIM/DMARC, Damerau-Levenshtein, authentic sender discount, zero-trust gateway.</w:t>
      </w:r>
    </w:p>
    <w:p>
      <w:pPr>
        <w:keepNext/>
        <w:spacing w:before="160" w:after="50"/>
        <w:jc w:val="center"/>
      </w:pPr>
      <w:r>
        <w:rPr>
          <w:rFonts w:ascii="Times New Roman" w:hAnsi="Times New Roman"/>
          <w:b/>
          <w:color w:val="0F172A"/>
          <w:sz w:val="19"/>
        </w:rPr>
        <w:t>I. INTRODUCTION</w:t>
      </w:r>
    </w:p>
    <w:p>
      <w:pPr>
        <w:spacing w:before="0" w:after="50" w:line="252" w:lineRule="auto"/>
        <w:ind w:firstLine="202"/>
        <w:jc w:val="both"/>
      </w:pPr>
      <w:r>
        <w:rPr>
          <w:rFonts w:ascii="Times New Roman" w:hAnsi="Times New Roman"/>
          <w:color w:val="111827"/>
          <w:sz w:val="17"/>
        </w:rPr>
        <w:t>Even with modern collaboration platforms and instant messaging, email remains the standard channel for business operations. Across global commercial networks, an estimated 3.4 billion phishing messages circulate every day, representing the initial trigger in over 90% of reported enterprise security incidents [1]. Early email defenses relied primarily on static blacklists, Bayesian keyword probability tables, and file hash matching. However, modern attackers have moved away from attachment-borne executable malware, shifting instead toward polymorphic multi-modal social engineering that evades perimeter filters.</w:t>
      </w:r>
    </w:p>
    <w:p>
      <w:pPr>
        <w:spacing w:before="0" w:after="50" w:line="252" w:lineRule="auto"/>
        <w:ind w:firstLine="202"/>
        <w:jc w:val="both"/>
      </w:pPr>
      <w:r>
        <w:rPr>
          <w:rFonts w:ascii="Times New Roman" w:hAnsi="Times New Roman"/>
          <w:color w:val="111827"/>
          <w:sz w:val="17"/>
        </w:rPr>
        <w:t>Optical quishing—phishing executed through visual Quick Response (QR) codes embedded in email bodies or image attachments—is expanding rapidly [6]. Because an optical QR matrix contains no readable ASCII text within the MIME stream, classical natural language processing (NLP) filters and heuristic spam rules detect zero suspicious strings. When a recipient scans the code using an unmanaged smartphone camera, they are routed outside corporate perimeter monitoring directly to credential harvesting landing pages.</w:t>
      </w:r>
    </w:p>
    <w:p>
      <w:pPr>
        <w:spacing w:before="0" w:after="50" w:line="252" w:lineRule="auto"/>
        <w:ind w:firstLine="202"/>
        <w:jc w:val="both"/>
      </w:pPr>
      <w:r>
        <w:rPr>
          <w:rFonts w:ascii="Times New Roman" w:hAnsi="Times New Roman"/>
          <w:color w:val="111827"/>
          <w:sz w:val="17"/>
        </w:rPr>
        <w:t>At the same time, the widespread adoption of webmail interfaces like Google Workspace and Microsoft 365 has created a visibility gap for end users. Key security headers—including Authentication-Results, Received-SPF, and DKIM-Signature—are tucked away inside nested technical drop-downs. Consequently, non-technical users cannot easily determine whether an email from a purported executive or bank actually passed cryptographic verification [3]. SecureMail addresses these challenges through a lightweight client-edge Chrome extension combined with a fast asynchronous FastAPI microservice gateway.</w:t>
      </w:r>
    </w:p>
    <w:p>
      <w:pPr>
        <w:spacing w:before="0" w:after="50" w:line="252" w:lineRule="auto"/>
        <w:ind w:firstLine="202"/>
        <w:jc w:val="both"/>
      </w:pPr>
      <w:r>
        <w:rPr>
          <w:rFonts w:ascii="Times New Roman" w:hAnsi="Times New Roman"/>
          <w:color w:val="111827"/>
          <w:sz w:val="17"/>
        </w:rPr>
        <w:t>In our testing at Parul University, we observed that students and administrative staff frequently receive urgent notices regarding fees, exam schedules, and account updates. When automated spam filters flag these authentic communications, users develop alert fatigue, often disabling security warnings entirely. Therefore, an effective modern email security framework must not only catch visual threats like quishing, but must also avoid misclassifying urgent authentic announcements.</w:t>
      </w:r>
    </w:p>
    <w:p>
      <w:pPr>
        <w:keepNext/>
        <w:spacing w:before="160" w:after="50"/>
        <w:jc w:val="center"/>
      </w:pPr>
      <w:r>
        <w:rPr>
          <w:rFonts w:ascii="Times New Roman" w:hAnsi="Times New Roman"/>
          <w:b/>
          <w:color w:val="0F172A"/>
          <w:sz w:val="19"/>
        </w:rPr>
        <w:t>II. PROBLEM STATEMENT AND OBJECTIVES</w:t>
      </w:r>
    </w:p>
    <w:p>
      <w:pPr>
        <w:spacing w:before="0" w:after="50" w:line="252" w:lineRule="auto"/>
        <w:ind w:firstLine="202"/>
        <w:jc w:val="both"/>
      </w:pPr>
      <w:r>
        <w:rPr>
          <w:rFonts w:ascii="Times New Roman" w:hAnsi="Times New Roman"/>
          <w:color w:val="111827"/>
          <w:sz w:val="17"/>
        </w:rPr>
        <w:t>Our analysis of contemporary email defenses highlights three key operational vulnerabilities:</w:t>
        <w:br/>
        <w:t>1) Reading-Pane Invisibility: Perimeter Secure Email Gateways (SEGs) examine inbound traffic at the MX boundary. They do not monitor the active client reading pane, leaving organizations exposed to post-delivery modifications, compromised internal accounts, and multi-hop forwarding anomalies.</w:t>
        <w:br/>
        <w:t>2) Computer Vision Blind Spot: Standard client add-ins inspect only textual tokens. Without visual decoding capabilities, they are completely unaware of malicious URLs hidden within embedded image matrices.</w:t>
        <w:br/>
        <w:t>3) False Alarm Fatigue on Urgent Communications: Traditional machine learning classifiers heavily weight urgency markers (e.g., 'immediate action required', 'deadline today'). In the absence of cryptographic domain validation, legitimate notices from human resources or university registrars trigger false alarms, leading users to ignore security alerts.</w:t>
      </w:r>
    </w:p>
    <w:p>
      <w:pPr>
        <w:spacing w:before="0" w:after="50" w:line="252" w:lineRule="auto"/>
        <w:ind w:firstLine="202"/>
        <w:jc w:val="both"/>
      </w:pPr>
      <w:r>
        <w:rPr>
          <w:rFonts w:ascii="Times New Roman" w:hAnsi="Times New Roman"/>
          <w:color w:val="111827"/>
          <w:sz w:val="17"/>
        </w:rPr>
        <w:t>To systematically address these issues, our team established six engineering objectives:</w:t>
        <w:br/>
        <w:t>• Objective 1: Implement a Manifest V3 browser extension that parses Gmail and Outlook DOM reading panes without requiring access to user account credentials.</w:t>
        <w:br/>
        <w:t>• Objective 2: Build an asynchronous FastAPI gateway capable of processing multi-modal email telemetry with sub-5 ms average latency.</w:t>
        <w:br/>
        <w:t>• Objective 3: Construct a real-time DNS-over-HTTPS (DoH) resolver over Cloudflare and Google to verify SPF, DKIM, and DMARC alignment.</w:t>
        <w:br/>
        <w:t>• Objective 4: Integrate an automated computer vision detonation pipeline combining OpenCV adaptive thresholding and pyzbar QR extraction.</w:t>
        <w:br/>
        <w:t>• Objective 5: Formulate the Authentic Sender Discount (D_auth) within a Bayesian probability fusion model to eliminate false positives on urgent benign notices.</w:t>
        <w:br/>
        <w:t>• Objective 6: Conduct empirical benchmark evaluations against published baseline algorithms (Fette et al., Basnet et al., Toolan &amp; Carthy) across a 5,000-sample corpus.</w:t>
      </w:r>
    </w:p>
    <w:p>
      <w:pPr>
        <w:keepNext/>
        <w:spacing w:before="160" w:after="50"/>
        <w:jc w:val="center"/>
      </w:pPr>
      <w:r>
        <w:rPr>
          <w:rFonts w:ascii="Times New Roman" w:hAnsi="Times New Roman"/>
          <w:b/>
          <w:color w:val="0F172A"/>
          <w:sz w:val="19"/>
        </w:rPr>
        <w:t>III. EXISTING SYSTEM AND RELATED WORK</w:t>
      </w:r>
    </w:p>
    <w:p>
      <w:pPr>
        <w:keepNext/>
        <w:spacing w:before="100" w:after="30"/>
        <w:jc w:val="left"/>
      </w:pPr>
      <w:r>
        <w:rPr>
          <w:rFonts w:ascii="Times New Roman" w:hAnsi="Times New Roman"/>
          <w:b/>
          <w:i/>
          <w:color w:val="0F172A"/>
          <w:sz w:val="17"/>
        </w:rPr>
        <w:t>A. Landmark Classical Machine Learning Classifiers</w:t>
      </w:r>
    </w:p>
    <w:p>
      <w:pPr>
        <w:spacing w:before="0" w:after="50" w:line="252" w:lineRule="auto"/>
        <w:ind w:firstLine="202"/>
        <w:jc w:val="both"/>
      </w:pPr>
      <w:r>
        <w:rPr>
          <w:rFonts w:ascii="Times New Roman" w:hAnsi="Times New Roman"/>
          <w:color w:val="111827"/>
          <w:sz w:val="17"/>
        </w:rPr>
        <w:t>Machine learning approaches for email security have been investigated extensively over the past two decades. The seminal work of Fette, Sadeh, and Tomasic (2007) introduced PILFER [2], establishing the standard of extracting structural and lexical features from email MIME envelopes. Evaluating 10 specific features across the Jose Nazario Phishing Corpus [5] and SpamAssassin archives, PILFER demonstrated that Gaussian Naive Bayes and Random Forest achieved strong accuracy on static text. Toolan and Carthy (2010) [3] expanded on this by applying Information Gain (IG) feature selection across 40 properties, confirming that tree-based ensembles offered superior precision compared to simple linear models. Basnet, Mukkamala, and Sung (2008) [4] explored Support Vector Machines (SVM) with RBF kernels, reporting strong theoretical margin separation on high-dimensional text vectors.</w:t>
      </w:r>
    </w:p>
    <w:p>
      <w:pPr>
        <w:keepNext/>
        <w:spacing w:before="100" w:after="30"/>
        <w:jc w:val="left"/>
      </w:pPr>
      <w:r>
        <w:rPr>
          <w:rFonts w:ascii="Times New Roman" w:hAnsi="Times New Roman"/>
          <w:b/>
          <w:i/>
          <w:color w:val="0F172A"/>
          <w:sz w:val="17"/>
        </w:rPr>
        <w:t>B. Architectural Deficiencies in Prior Literature</w:t>
      </w:r>
    </w:p>
    <w:p>
      <w:pPr>
        <w:spacing w:before="0" w:after="50" w:line="252" w:lineRule="auto"/>
        <w:ind w:firstLine="202"/>
        <w:jc w:val="both"/>
      </w:pPr>
      <w:r>
        <w:rPr>
          <w:rFonts w:ascii="Times New Roman" w:hAnsi="Times New Roman"/>
          <w:color w:val="111827"/>
          <w:sz w:val="17"/>
        </w:rPr>
        <w:t>Despite their historical success, existing academic approaches exhibit three fundamental blind spots:</w:t>
        <w:br/>
        <w:t>1) Static Text Exclusivity: Classifiers modeled after Fette et al. [2] and Toolan &amp; Carthy [3] parse only ASCII text. When an email embeds its malicious redirection target inside an optical QR matrix, the feature vector contains zero malicious indicators, causing detection recall to collapse (31%–51%).</w:t>
        <w:br/>
        <w:t>2) Absence of Live Cryptographic Grounding: Models treat sender domains as untrusted strings, omitting live DNS-over-HTTPS cryptographic queries [7], [10].</w:t>
        <w:br/>
        <w:t>3) False Positive Fatigue on Urgent Ham: Classifiers penalize urgency terms indiscriminately. Without cryptographic provenance validation, authentic university circulars receive high threat scores (3.8%–8.9% FPR).</w:t>
        <w:br/>
        <w:t>Furthermore, contemporary commercial gateways (SEGs) operate exclusively at network boundaries, lacking runtime visibility into client DOM events and user-facing interface contexts. This architectural limitation makes it impossible for SEGs to inspect dynamic client-side rendering or display inline warnings directly within webmail reading panes.</w:t>
      </w:r>
    </w:p>
    <w:p>
      <w:pPr>
        <w:keepNext/>
        <w:spacing w:before="160" w:after="50"/>
        <w:jc w:val="center"/>
      </w:pPr>
      <w:r>
        <w:rPr>
          <w:rFonts w:ascii="Times New Roman" w:hAnsi="Times New Roman"/>
          <w:b/>
          <w:color w:val="0F172A"/>
          <w:sz w:val="19"/>
        </w:rPr>
        <w:t>IV. PROPOSED SYSTEM ARCHITECTURE</w:t>
      </w:r>
    </w:p>
    <w:p>
      <w:pPr>
        <w:keepNext/>
        <w:spacing w:before="100" w:after="30"/>
        <w:jc w:val="left"/>
      </w:pPr>
      <w:r>
        <w:rPr>
          <w:rFonts w:ascii="Times New Roman" w:hAnsi="Times New Roman"/>
          <w:b/>
          <w:i/>
          <w:color w:val="0F172A"/>
          <w:sz w:val="17"/>
        </w:rPr>
        <w:t>A. Layered Multi-Tier Modular Design</w:t>
      </w:r>
    </w:p>
    <w:p>
      <w:pPr>
        <w:spacing w:before="0" w:after="50" w:line="252" w:lineRule="auto"/>
        <w:ind w:firstLine="202"/>
        <w:jc w:val="both"/>
      </w:pPr>
      <w:r>
        <w:rPr>
          <w:rFonts w:ascii="Times New Roman" w:hAnsi="Times New Roman"/>
          <w:color w:val="111827"/>
          <w:sz w:val="17"/>
        </w:rPr>
        <w:t>SecureMail is structured into four decoupled operational layers: (1) Client-Edge Layer, executing a lightweight Manifest V3 background service worker and non-intrusive MutationObserver DOM extractors in Gmail and Outlook Web; (2) Security Gateway Layer, implemented in Python 3.10+ using FastAPI and an asynchronous Uvicorn ASGI server; (3) Analysis Engine Layer, orchestrating parallel worker pipelines for DoH DNS resolution, OpenCV QR detonation, Damerau-Levenshtein homoglyph calculation, and local Threat Vault caching; and (4) Persistence &amp; Audit Layer, maintaining an in-memory threat cache, cryptographically signed SQLite audit logs, and ISO/IEC 27001 compliant PDF forensic reports.</w:t>
      </w:r>
    </w:p>
    <w:p>
      <w:pPr>
        <w:keepNext/>
        <w:spacing w:before="100" w:after="30"/>
        <w:jc w:val="center"/>
      </w:pPr>
      <w:r>
        <w:drawing>
          <wp:inline xmlns:a="http://schemas.openxmlformats.org/drawingml/2006/main" xmlns:pic="http://schemas.openxmlformats.org/drawingml/2006/picture">
            <wp:extent cx="3017520" cy="1952513"/>
            <wp:docPr id="1" name="Picture 1"/>
            <wp:cNvGraphicFramePr>
              <a:graphicFrameLocks noChangeAspect="1"/>
            </wp:cNvGraphicFramePr>
            <a:graphic>
              <a:graphicData uri="http://schemas.openxmlformats.org/drawingml/2006/picture">
                <pic:pic>
                  <pic:nvPicPr>
                    <pic:cNvPr id="0" name="fig1_testing_architecture.png"/>
                    <pic:cNvPicPr/>
                  </pic:nvPicPr>
                  <pic:blipFill>
                    <a:blip r:embed="rId9"/>
                    <a:stretch>
                      <a:fillRect/>
                    </a:stretch>
                  </pic:blipFill>
                  <pic:spPr>
                    <a:xfrm>
                      <a:off x="0" y="0"/>
                      <a:ext cx="3017520" cy="1952513"/>
                    </a:xfrm>
                    <a:prstGeom prst="rect"/>
                  </pic:spPr>
                </pic:pic>
              </a:graphicData>
            </a:graphic>
          </wp:inline>
        </w:drawing>
      </w:r>
    </w:p>
    <w:p>
      <w:pPr>
        <w:spacing w:before="20" w:after="80" w:line="240" w:lineRule="auto"/>
        <w:jc w:val="center"/>
      </w:pPr>
      <w:r>
        <w:rPr>
          <w:rFonts w:ascii="Times New Roman" w:hAnsi="Times New Roman"/>
          <w:i/>
          <w:color w:val="475569"/>
          <w:sz w:val="15"/>
        </w:rPr>
        <w:t>Fig. 1. SecureMail System Testing Architecture and Multi-Layer Operational Boundaries</w:t>
      </w:r>
    </w:p>
    <w:p>
      <w:pPr>
        <w:keepNext/>
        <w:spacing w:before="100" w:after="30"/>
        <w:jc w:val="left"/>
      </w:pPr>
      <w:r>
        <w:rPr>
          <w:rFonts w:ascii="Times New Roman" w:hAnsi="Times New Roman"/>
          <w:b/>
          <w:i/>
          <w:color w:val="0F172A"/>
          <w:sz w:val="17"/>
        </w:rPr>
        <w:t>B. Trust Separation and Memory Security Boundaries</w:t>
      </w:r>
    </w:p>
    <w:p>
      <w:pPr>
        <w:spacing w:before="0" w:after="50" w:line="252" w:lineRule="auto"/>
        <w:ind w:firstLine="202"/>
        <w:jc w:val="both"/>
      </w:pPr>
      <w:r>
        <w:rPr>
          <w:rFonts w:ascii="Times New Roman" w:hAnsi="Times New Roman"/>
          <w:color w:val="111827"/>
          <w:sz w:val="17"/>
        </w:rPr>
        <w:t>To protect against DOM-based cross-site scripting (XSS), the client extension never stores session credentials or API tokens in browser localStorage or cookies. Tokens remain strictly within isolated execution memory (window._authToken). All upstream secrets—such as VirusTotal API keys, Cloudflare DoH resolver endpoints, and Firebase credentials—are maintained strictly on the backend gateway server.</w:t>
      </w:r>
    </w:p>
    <w:p>
      <w:pPr>
        <w:keepNext/>
        <w:spacing w:before="100" w:after="30"/>
        <w:jc w:val="center"/>
      </w:pPr>
      <w:r>
        <w:drawing>
          <wp:inline xmlns:a="http://schemas.openxmlformats.org/drawingml/2006/main" xmlns:pic="http://schemas.openxmlformats.org/drawingml/2006/picture">
            <wp:extent cx="3017520" cy="1856935"/>
            <wp:docPr id="2" name="Picture 2"/>
            <wp:cNvGraphicFramePr>
              <a:graphicFrameLocks noChangeAspect="1"/>
            </wp:cNvGraphicFramePr>
            <a:graphic>
              <a:graphicData uri="http://schemas.openxmlformats.org/drawingml/2006/picture">
                <pic:pic>
                  <pic:nvPicPr>
                    <pic:cNvPr id="0" name="fig5_trust_boundary.png"/>
                    <pic:cNvPicPr/>
                  </pic:nvPicPr>
                  <pic:blipFill>
                    <a:blip r:embed="rId10"/>
                    <a:stretch>
                      <a:fillRect/>
                    </a:stretch>
                  </pic:blipFill>
                  <pic:spPr>
                    <a:xfrm>
                      <a:off x="0" y="0"/>
                      <a:ext cx="3017520" cy="1856935"/>
                    </a:xfrm>
                    <a:prstGeom prst="rect"/>
                  </pic:spPr>
                </pic:pic>
              </a:graphicData>
            </a:graphic>
          </wp:inline>
        </w:drawing>
      </w:r>
    </w:p>
    <w:p>
      <w:pPr>
        <w:spacing w:before="20" w:after="80" w:line="240" w:lineRule="auto"/>
        <w:jc w:val="center"/>
      </w:pPr>
      <w:r>
        <w:rPr>
          <w:rFonts w:ascii="Times New Roman" w:hAnsi="Times New Roman"/>
          <w:i/>
          <w:color w:val="475569"/>
          <w:sz w:val="15"/>
        </w:rPr>
        <w:t>Fig. 2. Secure Extension-to-Gateway Trust Separation and Volatile Memory Boundary</w:t>
      </w:r>
    </w:p>
    <w:p>
      <w:pPr>
        <w:keepNext/>
        <w:spacing w:before="100" w:after="30"/>
        <w:jc w:val="left"/>
      </w:pPr>
      <w:r>
        <w:rPr>
          <w:rFonts w:ascii="Times New Roman" w:hAnsi="Times New Roman"/>
          <w:b/>
          <w:i/>
          <w:color w:val="0F172A"/>
          <w:sz w:val="17"/>
        </w:rPr>
        <w:t>C. Privacy Model and PII Protection</w:t>
      </w:r>
    </w:p>
    <w:p>
      <w:pPr>
        <w:spacing w:before="0" w:after="50" w:line="252" w:lineRule="auto"/>
        <w:ind w:firstLine="202"/>
        <w:jc w:val="both"/>
      </w:pPr>
      <w:r>
        <w:rPr>
          <w:rFonts w:ascii="Times New Roman" w:hAnsi="Times New Roman"/>
          <w:color w:val="111827"/>
          <w:sz w:val="17"/>
        </w:rPr>
        <w:t>Email payloads are evaluated strictly in volatile server memory during the request lifecycle and are never serialized to persistent disk. Extracted Indicators of Compromise (IOCs) are cryptographically sanitized and defanged before logging (e.g., http://malicious.com -&gt; hxxp://malicious[.]com). The forensic logging database stores only structural metadata, cryptographic hashes, and defanged IOCs to comply with privacy frameworks.</w:t>
      </w:r>
    </w:p>
    <w:p>
      <w:pPr>
        <w:keepNext/>
        <w:spacing w:before="160" w:after="50"/>
        <w:jc w:val="center"/>
      </w:pPr>
      <w:r>
        <w:rPr>
          <w:rFonts w:ascii="Times New Roman" w:hAnsi="Times New Roman"/>
          <w:b/>
          <w:color w:val="0F172A"/>
          <w:sz w:val="19"/>
        </w:rPr>
        <w:t>V. METHODOLOGY: TRI-MODAL HYBRID DETECTION</w:t>
      </w:r>
    </w:p>
    <w:p>
      <w:pPr>
        <w:keepNext/>
        <w:spacing w:before="100" w:after="30"/>
        <w:jc w:val="left"/>
      </w:pPr>
      <w:r>
        <w:rPr>
          <w:rFonts w:ascii="Times New Roman" w:hAnsi="Times New Roman"/>
          <w:b/>
          <w:i/>
          <w:color w:val="0F172A"/>
          <w:sz w:val="17"/>
        </w:rPr>
        <w:t>A. Modality 1: Lexical, Structural &amp; Intent NLP Engine (P_nlp)</w:t>
      </w:r>
    </w:p>
    <w:p>
      <w:pPr>
        <w:spacing w:before="0" w:after="50" w:line="252" w:lineRule="auto"/>
        <w:ind w:firstLine="202"/>
        <w:jc w:val="both"/>
      </w:pPr>
      <w:r>
        <w:rPr>
          <w:rFonts w:ascii="Times New Roman" w:hAnsi="Times New Roman"/>
          <w:color w:val="111827"/>
          <w:sz w:val="17"/>
        </w:rPr>
        <w:t>The text processing engine evaluates 30 engineered numerical features across four primary risk dimensions: urgency keyword density (P_urg), credential harvesting phrases (P_cred), fear/coercion markers (P_fear), and financial pressure indicators (P_fin). In addition, structural attributes—including uppercase character ratio, exclamation mark frequency, external URL ratios, IP address links, and subdomain nesting depth—are synthesized into an ensemble probability score P_nlp in [0, 1].</w:t>
      </w:r>
    </w:p>
    <w:p>
      <w:pPr>
        <w:keepNext/>
        <w:spacing w:before="100" w:after="30"/>
        <w:jc w:val="left"/>
      </w:pPr>
      <w:r>
        <w:rPr>
          <w:rFonts w:ascii="Times New Roman" w:hAnsi="Times New Roman"/>
          <w:b/>
          <w:i/>
          <w:color w:val="0F172A"/>
          <w:sz w:val="17"/>
        </w:rPr>
        <w:t>B. Modality 2: Computer Vision Optical Quishing Detonation Pipeline (P_quish)</w:t>
      </w:r>
    </w:p>
    <w:p>
      <w:pPr>
        <w:spacing w:before="0" w:after="50" w:line="252" w:lineRule="auto"/>
        <w:ind w:firstLine="202"/>
        <w:jc w:val="both"/>
      </w:pPr>
      <w:r>
        <w:rPr>
          <w:rFonts w:ascii="Times New Roman" w:hAnsi="Times New Roman"/>
          <w:color w:val="111827"/>
          <w:sz w:val="17"/>
        </w:rPr>
        <w:t>When an incoming email contains embedded &lt;img&gt; tags or base64 data URIs, the image buffer is extracted and converted into an 8-bit single-channel grayscale bitmap (I_gray = 0.299R + 0.587G + 0.114B). The image is processed through adaptive Gaussian thresholding, and the pyzbar engine localizes the three position-detection finder patterns. The extracted payload is decoded via Reed-Solomon error correction, checked for known URL shorteners, and assigned an optical risk probability P_quish in [0, 1], as implemented in Listing 1.</w:t>
      </w:r>
    </w:p>
    <w:tbl>
      <w:tblPr>
        <w:tblW w:type="auto" w:w="0"/>
        <w:jc w:val="center"/>
        <w:tblLayout w:type="fixed"/>
        <w:tblLook w:firstColumn="1" w:firstRow="1" w:lastColumn="0" w:lastRow="0" w:noHBand="0" w:noVBand="1" w:val="04A0"/>
      </w:tblPr>
      <w:tblGrid>
        <w:gridCol w:w="691"/>
        <w:gridCol w:w="4061"/>
      </w:tblGrid>
      <w:tr>
        <w:tc>
          <w:tcPr>
            <w:tcW w:type="dxa" w:w="5184"/>
            <w:shd w:fill="F8FAFC"/>
            <w:tcMar>
              <w:top w:w="30" w:type="dxa"/>
              <w:bottom w:w="30" w:type="dxa"/>
              <w:left w:w="40" w:type="dxa"/>
              <w:right w:w="20" w:type="dxa"/>
            </w:tcMar>
            <w:tcBorders>
              <w:top w:val="single" w:sz="4" w:space="0" w:color="CBD5E1"/>
              <w:bottom w:val="single" w:sz="4" w:space="0" w:color="CBD5E1"/>
              <w:left w:val="single" w:sz="4" w:space="0" w:color="CBD5E1"/>
              <w:right w:val="none"/>
            </w:tcBorders>
          </w:tcPr>
          <w:p>
            <w:pPr>
              <w:spacing w:before="0" w:after="0"/>
              <w:jc w:val="left"/>
            </w:pPr>
            <w:r>
              <w:rPr>
                <w:rFonts w:ascii="Consolas" w:hAnsi="Consolas"/>
                <w:b/>
                <w:color w:val="1D4ED8"/>
                <w:sz w:val="13"/>
              </w:rPr>
              <w:t>In [4]:</w:t>
            </w:r>
          </w:p>
        </w:tc>
        <w:tc>
          <w:tcPr>
            <w:tcW w:type="dxa" w:w="5184"/>
            <w:shd w:fill="F8FAFC"/>
            <w:tcMar>
              <w:top w:w="30" w:type="dxa"/>
              <w:bottom w:w="30" w:type="dxa"/>
              <w:left w:w="20" w:type="dxa"/>
              <w:right w:w="40" w:type="dxa"/>
            </w:tcMar>
            <w:tcBorders>
              <w:top w:val="single" w:sz="4" w:space="0" w:color="CBD5E1"/>
              <w:bottom w:val="single" w:sz="4" w:space="0" w:color="CBD5E1"/>
              <w:left w:val="none"/>
              <w:right w:val="single" w:sz="4" w:space="0" w:color="CBD5E1"/>
            </w:tcBorders>
          </w:tcPr>
          <w:p>
            <w:pPr>
              <w:spacing w:before="0" w:after="0" w:line="252" w:lineRule="auto"/>
            </w:pPr>
            <w:r>
              <w:rPr>
                <w:rFonts w:ascii="Consolas" w:hAnsi="Consolas"/>
                <w:color w:val="0F172A"/>
                <w:sz w:val="13"/>
              </w:rPr>
              <w:t>def detonate_qr_matrix(image_bytes: bytes):</w:t>
              <w:br/>
              <w:t xml:space="preserve">    nparr = np.frombuffer(image_bytes, np.uint8)</w:t>
              <w:br/>
              <w:t xml:space="preserve">    img = cv2.imdecode(nparr, cv2.IMREAD_COLOR)</w:t>
              <w:br/>
              <w:t xml:space="preserve">    gray = cv2.cvtColor(img, cv2.COLOR_BGR2GRAY)</w:t>
              <w:br/>
              <w:t xml:space="preserve">    thresh = cv2.adaptiveThreshold(gray, 255,</w:t>
              <w:br/>
              <w:t xml:space="preserve">        cv2.ADAPTIVE_THRESH_GAUSSIAN_C, cv2.THRESH_BINARY, 11, 2)</w:t>
              <w:br/>
              <w:t xml:space="preserve">    barcodes = pyzbar.decode(thresh, symbols=[ZBarSymbol.QRCODE])</w:t>
              <w:br/>
              <w:t xml:space="preserve">    if barcodes:</w:t>
              <w:br/>
              <w:t xml:space="preserve">        raw_url = barcodes[0].data.decode('utf-8')</w:t>
              <w:br/>
              <w:t xml:space="preserve">        target = expand_url_shortener(raw_url)</w:t>
              <w:br/>
              <w:t xml:space="preserve">        return {'has_qr': True, 'url': defang(target), 'p_quish': 0.95}</w:t>
              <w:br/>
              <w:t xml:space="preserve">    return {'has_qr': False, 'url': None, 'p_quish': 0.00}</w:t>
            </w:r>
          </w:p>
        </w:tc>
      </w:tr>
    </w:tbl>
    <w:p>
      <w:pPr>
        <w:spacing w:before="30" w:after="80"/>
        <w:jc w:val="center"/>
      </w:pPr>
      <w:r>
        <w:rPr>
          <w:rFonts w:ascii="Times New Roman" w:hAnsi="Times New Roman"/>
          <w:i/>
          <w:color w:val="475569"/>
          <w:sz w:val="15"/>
        </w:rPr>
        <w:t>Listing 1. Python Optical Quishing Matrix Detonation and QR Extraction Pipeline</w:t>
      </w:r>
    </w:p>
    <w:p>
      <w:pPr>
        <w:keepNext/>
        <w:spacing w:before="100" w:after="30"/>
        <w:jc w:val="center"/>
      </w:pPr>
      <w:r>
        <w:drawing>
          <wp:inline xmlns:a="http://schemas.openxmlformats.org/drawingml/2006/main" xmlns:pic="http://schemas.openxmlformats.org/drawingml/2006/picture">
            <wp:extent cx="3017520" cy="4598126"/>
            <wp:docPr id="3" name="Picture 3"/>
            <wp:cNvGraphicFramePr>
              <a:graphicFrameLocks noChangeAspect="1"/>
            </wp:cNvGraphicFramePr>
            <a:graphic>
              <a:graphicData uri="http://schemas.openxmlformats.org/drawingml/2006/picture">
                <pic:pic>
                  <pic:nvPicPr>
                    <pic:cNvPr id="0" name="fig6_quishing_flow.png"/>
                    <pic:cNvPicPr/>
                  </pic:nvPicPr>
                  <pic:blipFill>
                    <a:blip r:embed="rId11"/>
                    <a:stretch>
                      <a:fillRect/>
                    </a:stretch>
                  </pic:blipFill>
                  <pic:spPr>
                    <a:xfrm>
                      <a:off x="0" y="0"/>
                      <a:ext cx="3017520" cy="4598126"/>
                    </a:xfrm>
                    <a:prstGeom prst="rect"/>
                  </pic:spPr>
                </pic:pic>
              </a:graphicData>
            </a:graphic>
          </wp:inline>
        </w:drawing>
      </w:r>
    </w:p>
    <w:p>
      <w:pPr>
        <w:spacing w:before="20" w:after="80" w:line="240" w:lineRule="auto"/>
        <w:jc w:val="center"/>
      </w:pPr>
      <w:r>
        <w:rPr>
          <w:rFonts w:ascii="Times New Roman" w:hAnsi="Times New Roman"/>
          <w:i/>
          <w:color w:val="475569"/>
          <w:sz w:val="15"/>
        </w:rPr>
        <w:t>Fig. 3. Optical Quishing (QR Code) Inspection and Payloads Decoding Flow</w:t>
      </w:r>
    </w:p>
    <w:p>
      <w:pPr>
        <w:keepNext/>
        <w:spacing w:before="100" w:after="30"/>
        <w:jc w:val="left"/>
      </w:pPr>
      <w:r>
        <w:rPr>
          <w:rFonts w:ascii="Times New Roman" w:hAnsi="Times New Roman"/>
          <w:b/>
          <w:i/>
          <w:color w:val="0F172A"/>
          <w:sz w:val="17"/>
        </w:rPr>
        <w:t>C. Modality 3: Real-Time DoH Cryptographic Alignment &amp; Authentic Sender Discount</w:t>
      </w:r>
    </w:p>
    <w:p>
      <w:pPr>
        <w:spacing w:before="0" w:after="50" w:line="252" w:lineRule="auto"/>
        <w:ind w:firstLine="202"/>
        <w:jc w:val="both"/>
      </w:pPr>
      <w:r>
        <w:rPr>
          <w:rFonts w:ascii="Times New Roman" w:hAnsi="Times New Roman"/>
          <w:color w:val="111827"/>
          <w:sz w:val="17"/>
        </w:rPr>
        <w:t>Using asynchronous DNS-over-HTTPS (DoH) queries over Cloudflare (1.1.1.1) and Google (8.8.8.8) resolvers, the gateway performs parallel lookups for SPF TXT records (v=spf1) and DMARC enforcement records (_dmarc.&lt;domain&gt;) in &lt;115 ms (cached in &lt;2 ms). Simultaneously, bidirectional Damerau-Levenshtein distance d_L(a, b) &lt;= 2 flags brand homoglyphs, as shown in Listing 2.</w:t>
      </w:r>
    </w:p>
    <w:tbl>
      <w:tblPr>
        <w:tblW w:type="auto" w:w="0"/>
        <w:jc w:val="center"/>
        <w:tblLayout w:type="fixed"/>
        <w:tblLook w:firstColumn="1" w:firstRow="1" w:lastColumn="0" w:lastRow="0" w:noHBand="0" w:noVBand="1" w:val="04A0"/>
      </w:tblPr>
      <w:tblGrid>
        <w:gridCol w:w="691"/>
        <w:gridCol w:w="4061"/>
      </w:tblGrid>
      <w:tr>
        <w:tc>
          <w:tcPr>
            <w:tcW w:type="dxa" w:w="5184"/>
            <w:shd w:fill="F8FAFC"/>
            <w:tcMar>
              <w:top w:w="30" w:type="dxa"/>
              <w:bottom w:w="30" w:type="dxa"/>
              <w:left w:w="40" w:type="dxa"/>
              <w:right w:w="20" w:type="dxa"/>
            </w:tcMar>
            <w:tcBorders>
              <w:top w:val="single" w:sz="4" w:space="0" w:color="CBD5E1"/>
              <w:bottom w:val="single" w:sz="4" w:space="0" w:color="CBD5E1"/>
              <w:left w:val="single" w:sz="4" w:space="0" w:color="CBD5E1"/>
              <w:right w:val="none"/>
            </w:tcBorders>
          </w:tcPr>
          <w:p>
            <w:pPr>
              <w:spacing w:before="0" w:after="0"/>
              <w:jc w:val="left"/>
            </w:pPr>
            <w:r>
              <w:rPr>
                <w:rFonts w:ascii="Consolas" w:hAnsi="Consolas"/>
                <w:b/>
                <w:color w:val="1D4ED8"/>
                <w:sz w:val="13"/>
              </w:rPr>
              <w:t>In [7]:</w:t>
            </w:r>
          </w:p>
        </w:tc>
        <w:tc>
          <w:tcPr>
            <w:tcW w:type="dxa" w:w="5184"/>
            <w:shd w:fill="F8FAFC"/>
            <w:tcMar>
              <w:top w:w="30" w:type="dxa"/>
              <w:bottom w:w="30" w:type="dxa"/>
              <w:left w:w="20" w:type="dxa"/>
              <w:right w:w="40" w:type="dxa"/>
            </w:tcMar>
            <w:tcBorders>
              <w:top w:val="single" w:sz="4" w:space="0" w:color="CBD5E1"/>
              <w:bottom w:val="single" w:sz="4" w:space="0" w:color="CBD5E1"/>
              <w:left w:val="none"/>
              <w:right w:val="single" w:sz="4" w:space="0" w:color="CBD5E1"/>
            </w:tcBorders>
          </w:tcPr>
          <w:p>
            <w:pPr>
              <w:spacing w:before="0" w:after="0" w:line="252" w:lineRule="auto"/>
            </w:pPr>
            <w:r>
              <w:rPr>
                <w:rFonts w:ascii="Consolas" w:hAnsi="Consolas"/>
                <w:color w:val="0F172A"/>
                <w:sz w:val="13"/>
              </w:rPr>
              <w:t>async def verify_doh_alignment(domain: str, client_ip: str):</w:t>
              <w:br/>
              <w:t xml:space="preserve">    cached = doh_lru_cache.get(domain)</w:t>
              <w:br/>
              <w:t xml:space="preserve">    if cached: return cached</w:t>
              <w:br/>
              <w:t xml:space="preserve">    doh_url = f"https://cloudflare-dns.com/dns-query?name={domain}&amp;type=TXT"</w:t>
              <w:br/>
              <w:t xml:space="preserve">    headers = {"Accept": "application/dns-json"}</w:t>
              <w:br/>
              <w:t xml:space="preserve">    async with httpx.AsyncClient(timeout=1.5) as client:</w:t>
              <w:br/>
              <w:t xml:space="preserve">        resp = await client.get(doh_url, headers=headers)</w:t>
              <w:br/>
              <w:t xml:space="preserve">        spf_pass = evaluate_spf_records(resp.json(), client_ip)</w:t>
              <w:br/>
              <w:t xml:space="preserve">        dmarc_pass = await check_dmarc_policy(client, domain)</w:t>
              <w:br/>
              <w:t xml:space="preserve">    result = {"spf": spf_pass, "dmarc": dmarc_pass}</w:t>
              <w:br/>
              <w:t xml:space="preserve">    doh_lru_cache.set(domain, result, ttl=300)</w:t>
              <w:br/>
              <w:t xml:space="preserve">    return result</w:t>
            </w:r>
          </w:p>
        </w:tc>
      </w:tr>
    </w:tbl>
    <w:p>
      <w:pPr>
        <w:spacing w:before="30" w:after="80"/>
        <w:jc w:val="center"/>
      </w:pPr>
      <w:r>
        <w:rPr>
          <w:rFonts w:ascii="Times New Roman" w:hAnsi="Times New Roman"/>
          <w:i/>
          <w:color w:val="475569"/>
          <w:sz w:val="15"/>
        </w:rPr>
        <w:t>Listing 2. Asynchronous DNS-over-HTTPS (DoH) Authentication Verification Routine</w:t>
      </w:r>
    </w:p>
    <w:p>
      <w:pPr>
        <w:keepNext/>
        <w:spacing w:before="100" w:after="30"/>
        <w:jc w:val="left"/>
      </w:pPr>
      <w:r>
        <w:rPr>
          <w:rFonts w:ascii="Times New Roman" w:hAnsi="Times New Roman"/>
          <w:b/>
          <w:i/>
          <w:color w:val="0F172A"/>
          <w:sz w:val="17"/>
        </w:rPr>
        <w:t>D. Mathematical Formulation of Multi-Modal Bayesian Fusion</w:t>
      </w:r>
    </w:p>
    <w:p>
      <w:pPr>
        <w:spacing w:before="0" w:after="50" w:line="252" w:lineRule="auto"/>
        <w:ind w:firstLine="202"/>
        <w:jc w:val="both"/>
      </w:pPr>
      <w:r>
        <w:rPr>
          <w:rFonts w:ascii="Times New Roman" w:hAnsi="Times New Roman"/>
          <w:color w:val="111827"/>
          <w:sz w:val="17"/>
        </w:rPr>
        <w:t>To combine these orthogonal signals without mutual cancellation, SecureMail implements Bayesian Independence Probability Fusion:</w:t>
      </w:r>
    </w:p>
    <w:tbl>
      <w:tblPr>
        <w:tblW w:type="auto" w:w="0"/>
        <w:jc w:val="center"/>
        <w:tblLayout w:type="fixed"/>
        <w:tblLook w:firstColumn="1" w:firstRow="1" w:lastColumn="0" w:lastRow="0" w:noHBand="0" w:noVBand="1" w:val="04A0"/>
      </w:tblPr>
      <w:tblGrid>
        <w:gridCol w:w="4032"/>
        <w:gridCol w:w="720"/>
      </w:tblGrid>
      <w:tr>
        <w:tc>
          <w:tcPr>
            <w:tcW w:type="dxa" w:w="5184"/>
            <w:tcMar>
              <w:top w:w="20" w:type="dxa"/>
              <w:bottom w:w="20" w:type="dxa"/>
              <w:left w:w="20" w:type="dxa"/>
              <w:right w:w="20" w:type="dxa"/>
            </w:tcMar>
            <w:tcBorders>
              <w:top w:val="none"/>
              <w:bottom w:val="none"/>
              <w:left w:val="none"/>
              <w:right w:val="none"/>
            </w:tcBorders>
          </w:tcPr>
          <w:p>
            <w:pPr>
              <w:spacing w:before="40" w:after="40"/>
              <w:jc w:val="center"/>
            </w:pPr>
            <w:r>
              <w:rPr>
                <w:rFonts w:ascii="Times New Roman" w:hAnsi="Times New Roman"/>
                <w:i/>
                <w:sz w:val="17"/>
              </w:rPr>
              <w:t>P_fused = 1 - (1 - P_nlp) * (1 - P_quish)</w:t>
            </w:r>
          </w:p>
        </w:tc>
        <w:tc>
          <w:tcPr>
            <w:tcW w:type="dxa" w:w="5184"/>
            <w:tcMar>
              <w:top w:w="20" w:type="dxa"/>
              <w:bottom w:w="20" w:type="dxa"/>
              <w:left w:w="20" w:type="dxa"/>
              <w:right w:w="20" w:type="dxa"/>
            </w:tcMar>
            <w:tcBorders>
              <w:top w:val="none"/>
              <w:bottom w:val="none"/>
              <w:left w:val="none"/>
              <w:right w:val="none"/>
            </w:tcBorders>
          </w:tcPr>
          <w:p>
            <w:pPr>
              <w:spacing w:before="40" w:after="40"/>
              <w:jc w:val="right"/>
            </w:pPr>
            <w:r>
              <w:rPr>
                <w:rFonts w:ascii="Times New Roman" w:hAnsi="Times New Roman"/>
                <w:sz w:val="17"/>
              </w:rPr>
              <w:t>(1)</w:t>
            </w:r>
          </w:p>
        </w:tc>
      </w:tr>
    </w:tbl>
    <w:p>
      <w:pPr>
        <w:spacing w:before="0" w:after="30"/>
      </w:pPr>
    </w:p>
    <w:p>
      <w:pPr>
        <w:spacing w:before="0" w:after="50" w:line="252" w:lineRule="auto"/>
        <w:ind w:firstLine="202"/>
        <w:jc w:val="both"/>
      </w:pPr>
      <w:r>
        <w:rPr>
          <w:rFonts w:ascii="Times New Roman" w:hAnsi="Times New Roman"/>
          <w:color w:val="111827"/>
          <w:sz w:val="17"/>
        </w:rPr>
        <w:t>Next, the framework applies the Authentic Sender Discount (D_auth) alongside authentication penalties:</w:t>
      </w:r>
    </w:p>
    <w:tbl>
      <w:tblPr>
        <w:tblW w:type="auto" w:w="0"/>
        <w:jc w:val="center"/>
        <w:tblLayout w:type="fixed"/>
        <w:tblLook w:firstColumn="1" w:firstRow="1" w:lastColumn="0" w:lastRow="0" w:noHBand="0" w:noVBand="1" w:val="04A0"/>
      </w:tblPr>
      <w:tblGrid>
        <w:gridCol w:w="4032"/>
        <w:gridCol w:w="720"/>
      </w:tblGrid>
      <w:tr>
        <w:tc>
          <w:tcPr>
            <w:tcW w:type="dxa" w:w="5184"/>
            <w:tcMar>
              <w:top w:w="20" w:type="dxa"/>
              <w:bottom w:w="20" w:type="dxa"/>
              <w:left w:w="20" w:type="dxa"/>
              <w:right w:w="20" w:type="dxa"/>
            </w:tcMar>
            <w:tcBorders>
              <w:top w:val="none"/>
              <w:bottom w:val="none"/>
              <w:left w:val="none"/>
              <w:right w:val="none"/>
            </w:tcBorders>
          </w:tcPr>
          <w:p>
            <w:pPr>
              <w:spacing w:before="40" w:after="40"/>
              <w:jc w:val="center"/>
            </w:pPr>
            <w:r>
              <w:rPr>
                <w:rFonts w:ascii="Times New Roman" w:hAnsi="Times New Roman"/>
                <w:i/>
                <w:sz w:val="17"/>
              </w:rPr>
              <w:t>P_final = min(1.0, max(0.0, P_fused + P_penalty - D_auth))</w:t>
            </w:r>
          </w:p>
        </w:tc>
        <w:tc>
          <w:tcPr>
            <w:tcW w:type="dxa" w:w="5184"/>
            <w:tcMar>
              <w:top w:w="20" w:type="dxa"/>
              <w:bottom w:w="20" w:type="dxa"/>
              <w:left w:w="20" w:type="dxa"/>
              <w:right w:w="20" w:type="dxa"/>
            </w:tcMar>
            <w:tcBorders>
              <w:top w:val="none"/>
              <w:bottom w:val="none"/>
              <w:left w:val="none"/>
              <w:right w:val="none"/>
            </w:tcBorders>
          </w:tcPr>
          <w:p>
            <w:pPr>
              <w:spacing w:before="40" w:after="40"/>
              <w:jc w:val="right"/>
            </w:pPr>
            <w:r>
              <w:rPr>
                <w:rFonts w:ascii="Times New Roman" w:hAnsi="Times New Roman"/>
                <w:sz w:val="17"/>
              </w:rPr>
              <w:t>(2)</w:t>
            </w:r>
          </w:p>
        </w:tc>
      </w:tr>
    </w:tbl>
    <w:p>
      <w:pPr>
        <w:spacing w:before="0" w:after="30"/>
      </w:pPr>
    </w:p>
    <w:p>
      <w:pPr>
        <w:spacing w:before="0" w:after="50" w:line="252" w:lineRule="auto"/>
        <w:ind w:firstLine="202"/>
        <w:jc w:val="both"/>
      </w:pPr>
      <w:r>
        <w:rPr>
          <w:rFonts w:ascii="Times New Roman" w:hAnsi="Times New Roman"/>
          <w:color w:val="111827"/>
          <w:sz w:val="17"/>
        </w:rPr>
        <w:t>where D_auth = 0.22 if SPF, DKIM, and DMARC pass with zero blacklisted IOCs (0.00 otherwise), and P_penalty = 0.20 if SPF fails and Reply-To mismatches sender domain. An email is classified as malicious if P_final &gt;= 0.48 (Listing 3).</w:t>
      </w:r>
    </w:p>
    <w:tbl>
      <w:tblPr>
        <w:tblW w:type="auto" w:w="0"/>
        <w:jc w:val="center"/>
        <w:tblLayout w:type="fixed"/>
        <w:tblLook w:firstColumn="1" w:firstRow="1" w:lastColumn="0" w:lastRow="0" w:noHBand="0" w:noVBand="1" w:val="04A0"/>
      </w:tblPr>
      <w:tblGrid>
        <w:gridCol w:w="691"/>
        <w:gridCol w:w="4061"/>
      </w:tblGrid>
      <w:tr>
        <w:tc>
          <w:tcPr>
            <w:tcW w:type="dxa" w:w="5184"/>
            <w:shd w:fill="F8FAFC"/>
            <w:tcMar>
              <w:top w:w="30" w:type="dxa"/>
              <w:bottom w:w="30" w:type="dxa"/>
              <w:left w:w="40" w:type="dxa"/>
              <w:right w:w="20" w:type="dxa"/>
            </w:tcMar>
            <w:tcBorders>
              <w:top w:val="single" w:sz="4" w:space="0" w:color="CBD5E1"/>
              <w:bottom w:val="single" w:sz="4" w:space="0" w:color="CBD5E1"/>
              <w:left w:val="single" w:sz="4" w:space="0" w:color="CBD5E1"/>
              <w:right w:val="none"/>
            </w:tcBorders>
          </w:tcPr>
          <w:p>
            <w:pPr>
              <w:spacing w:before="0" w:after="0"/>
              <w:jc w:val="left"/>
            </w:pPr>
            <w:r>
              <w:rPr>
                <w:rFonts w:ascii="Consolas" w:hAnsi="Consolas"/>
                <w:b/>
                <w:color w:val="1D4ED8"/>
                <w:sz w:val="13"/>
              </w:rPr>
              <w:t>In [11]:</w:t>
            </w:r>
          </w:p>
        </w:tc>
        <w:tc>
          <w:tcPr>
            <w:tcW w:type="dxa" w:w="5184"/>
            <w:shd w:fill="F8FAFC"/>
            <w:tcMar>
              <w:top w:w="30" w:type="dxa"/>
              <w:bottom w:w="30" w:type="dxa"/>
              <w:left w:w="20" w:type="dxa"/>
              <w:right w:w="40" w:type="dxa"/>
            </w:tcMar>
            <w:tcBorders>
              <w:top w:val="single" w:sz="4" w:space="0" w:color="CBD5E1"/>
              <w:bottom w:val="single" w:sz="4" w:space="0" w:color="CBD5E1"/>
              <w:left w:val="none"/>
              <w:right w:val="single" w:sz="4" w:space="0" w:color="CBD5E1"/>
            </w:tcBorders>
          </w:tcPr>
          <w:p>
            <w:pPr>
              <w:spacing w:before="0" w:after="0" w:line="252" w:lineRule="auto"/>
            </w:pPr>
            <w:r>
              <w:rPr>
                <w:rFonts w:ascii="Consolas" w:hAnsi="Consolas"/>
                <w:color w:val="0F172A"/>
                <w:sz w:val="13"/>
              </w:rPr>
              <w:t>def compute_fused_risk(p_nlp, p_quish, spf_pass, dkim_pass, dmarc_pass):</w:t>
              <w:br/>
              <w:t xml:space="preserve">    p_fused = 1.0 - (1.0 - p_nlp) * (1.0 - p_quish)</w:t>
              <w:br/>
              <w:t xml:space="preserve">    d_auth = 0.22 if (spf_pass and dkim_pass and dmarc_pass) else 0.0</w:t>
              <w:br/>
              <w:t xml:space="preserve">    p_penalty = 0.20 if (not spf_pass) else 0.0</w:t>
              <w:br/>
              <w:t xml:space="preserve">    p_final = min(1.0, max(0.0, p_fused + p_penalty - d_auth))</w:t>
              <w:br/>
              <w:t xml:space="preserve">    verdict = "PHISHING" if p_final &gt;= 0.48 else "BENIGN"</w:t>
              <w:br/>
              <w:t xml:space="preserve">    return round(p_final, 4), verdict</w:t>
            </w:r>
          </w:p>
        </w:tc>
      </w:tr>
    </w:tbl>
    <w:p>
      <w:pPr>
        <w:spacing w:before="30" w:after="80"/>
        <w:jc w:val="center"/>
      </w:pPr>
      <w:r>
        <w:rPr>
          <w:rFonts w:ascii="Times New Roman" w:hAnsi="Times New Roman"/>
          <w:i/>
          <w:color w:val="475569"/>
          <w:sz w:val="15"/>
        </w:rPr>
        <w:t>Listing 3. Bayesian Independence Fusion and Authentic Sender Discount (D_auth)</w:t>
      </w:r>
    </w:p>
    <w:p>
      <w:pPr>
        <w:spacing w:before="120" w:after="40"/>
        <w:jc w:val="center"/>
      </w:pPr>
      <w:r>
        <w:rPr>
          <w:rFonts w:ascii="Times New Roman" w:hAnsi="Times New Roman"/>
          <w:b/>
          <w:sz w:val="16"/>
        </w:rPr>
        <w:t>TABLE I: Documented Technology Stack and Component Allocation</w:t>
      </w:r>
    </w:p>
    <w:tbl>
      <w:tblPr>
        <w:tblW w:type="auto" w:w="0"/>
        <w:jc w:val="center"/>
        <w:tblLayout w:type="fixed"/>
        <w:tblLook w:firstColumn="1" w:firstRow="1" w:lastColumn="0" w:lastRow="0" w:noHBand="0" w:noVBand="1" w:val="04A0"/>
      </w:tblPr>
      <w:tblGrid>
        <w:gridCol w:w="1584"/>
        <w:gridCol w:w="3168"/>
      </w:tblGrid>
      <w:tr>
        <w:tc>
          <w:tcPr>
            <w:tcW w:type="dxa" w:w="5184"/>
            <w:shd w:fill="1E293B"/>
            <w:tcMar>
              <w:top w:w="40" w:type="dxa"/>
              <w:bottom w:w="4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40" w:after="40"/>
            </w:pPr>
            <w:r>
              <w:rPr>
                <w:rFonts w:ascii="Times New Roman" w:hAnsi="Times New Roman"/>
                <w:b/>
                <w:color w:val="FFFFFF"/>
                <w:sz w:val="15"/>
              </w:rPr>
              <w:t>Layer / Subsystem</w:t>
            </w:r>
          </w:p>
        </w:tc>
        <w:tc>
          <w:tcPr>
            <w:tcW w:type="dxa" w:w="5184"/>
            <w:shd w:fill="1E293B"/>
            <w:tcMar>
              <w:top w:w="40" w:type="dxa"/>
              <w:bottom w:w="4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40" w:after="40"/>
            </w:pPr>
            <w:r>
              <w:rPr>
                <w:rFonts w:ascii="Times New Roman" w:hAnsi="Times New Roman"/>
                <w:b/>
                <w:color w:val="FFFFFF"/>
                <w:sz w:val="15"/>
              </w:rPr>
              <w:t>Technology &amp; Implementation</w:t>
            </w:r>
          </w:p>
        </w:tc>
      </w:tr>
      <w:tr>
        <w:tc>
          <w:tcPr>
            <w:tcW w:type="dxa" w:w="5184"/>
            <w:shd w:fill="F8FAFC"/>
            <w:tcMar>
              <w:top w:w="30" w:type="dxa"/>
              <w:bottom w:w="30" w:type="dxa"/>
              <w:left w:w="50" w:type="dxa"/>
              <w:right w:w="5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Client Browser Extension</w:t>
            </w:r>
          </w:p>
        </w:tc>
        <w:tc>
          <w:tcPr>
            <w:tcW w:type="dxa" w:w="5184"/>
            <w:shd w:fill="F8FAFC"/>
            <w:tcMar>
              <w:top w:w="30" w:type="dxa"/>
              <w:bottom w:w="30" w:type="dxa"/>
              <w:left w:w="50" w:type="dxa"/>
              <w:right w:w="5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Chrome Extensions Manifest V3 (Vanilla JS, Service Workers)</w:t>
            </w:r>
          </w:p>
        </w:tc>
      </w:tr>
      <w:tr>
        <w:tc>
          <w:tcPr>
            <w:tcW w:type="dxa" w:w="5184"/>
            <w:shd w:fill="FFFFFF"/>
            <w:tcMar>
              <w:top w:w="30" w:type="dxa"/>
              <w:bottom w:w="30" w:type="dxa"/>
              <w:left w:w="50" w:type="dxa"/>
              <w:right w:w="5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SOC Web Dashboard</w:t>
            </w:r>
          </w:p>
        </w:tc>
        <w:tc>
          <w:tcPr>
            <w:tcW w:type="dxa" w:w="5184"/>
            <w:shd w:fill="FFFFFF"/>
            <w:tcMar>
              <w:top w:w="30" w:type="dxa"/>
              <w:bottom w:w="30" w:type="dxa"/>
              <w:left w:w="50" w:type="dxa"/>
              <w:right w:w="5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HTML5, Modern CSS Variables, Responsive Vanilla JavaScript</w:t>
            </w:r>
          </w:p>
        </w:tc>
      </w:tr>
      <w:tr>
        <w:tc>
          <w:tcPr>
            <w:tcW w:type="dxa" w:w="5184"/>
            <w:shd w:fill="F8FAFC"/>
            <w:tcMar>
              <w:top w:w="30" w:type="dxa"/>
              <w:bottom w:w="30" w:type="dxa"/>
              <w:left w:w="50" w:type="dxa"/>
              <w:right w:w="5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API Gateway Engine</w:t>
            </w:r>
          </w:p>
        </w:tc>
        <w:tc>
          <w:tcPr>
            <w:tcW w:type="dxa" w:w="5184"/>
            <w:shd w:fill="F8FAFC"/>
            <w:tcMar>
              <w:top w:w="30" w:type="dxa"/>
              <w:bottom w:w="30" w:type="dxa"/>
              <w:left w:w="50" w:type="dxa"/>
              <w:right w:w="5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Python 3.10+, FastAPI Asynchronous ASGI (Uvicorn Daemon)</w:t>
            </w:r>
          </w:p>
        </w:tc>
      </w:tr>
      <w:tr>
        <w:tc>
          <w:tcPr>
            <w:tcW w:type="dxa" w:w="5184"/>
            <w:shd w:fill="FFFFFF"/>
            <w:tcMar>
              <w:top w:w="30" w:type="dxa"/>
              <w:bottom w:w="30" w:type="dxa"/>
              <w:left w:w="50" w:type="dxa"/>
              <w:right w:w="5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Cryptographic DNS Resolver</w:t>
            </w:r>
          </w:p>
        </w:tc>
        <w:tc>
          <w:tcPr>
            <w:tcW w:type="dxa" w:w="5184"/>
            <w:shd w:fill="FFFFFF"/>
            <w:tcMar>
              <w:top w:w="30" w:type="dxa"/>
              <w:bottom w:w="30" w:type="dxa"/>
              <w:left w:w="50" w:type="dxa"/>
              <w:right w:w="5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Cloudflare (1.1.1.1) &amp; Google (8.8.8.8) DoH, JSON API</w:t>
            </w:r>
          </w:p>
        </w:tc>
      </w:tr>
      <w:tr>
        <w:tc>
          <w:tcPr>
            <w:tcW w:type="dxa" w:w="5184"/>
            <w:shd w:fill="F8FAFC"/>
            <w:tcMar>
              <w:top w:w="30" w:type="dxa"/>
              <w:bottom w:w="30" w:type="dxa"/>
              <w:left w:w="50" w:type="dxa"/>
              <w:right w:w="5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Optical Quishing Engine</w:t>
            </w:r>
          </w:p>
        </w:tc>
        <w:tc>
          <w:tcPr>
            <w:tcW w:type="dxa" w:w="5184"/>
            <w:shd w:fill="F8FAFC"/>
            <w:tcMar>
              <w:top w:w="30" w:type="dxa"/>
              <w:bottom w:w="30" w:type="dxa"/>
              <w:left w:w="50" w:type="dxa"/>
              <w:right w:w="5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OpenCV Grayscale/Adaptive Thresholding, pyzbar QR Decoder</w:t>
            </w:r>
          </w:p>
        </w:tc>
      </w:tr>
      <w:tr>
        <w:tc>
          <w:tcPr>
            <w:tcW w:type="dxa" w:w="5184"/>
            <w:shd w:fill="FFFFFF"/>
            <w:tcMar>
              <w:top w:w="30" w:type="dxa"/>
              <w:bottom w:w="30" w:type="dxa"/>
              <w:left w:w="50" w:type="dxa"/>
              <w:right w:w="5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Threat Intel &amp; Persistence</w:t>
            </w:r>
          </w:p>
        </w:tc>
        <w:tc>
          <w:tcPr>
            <w:tcW w:type="dxa" w:w="5184"/>
            <w:shd w:fill="FFFFFF"/>
            <w:tcMar>
              <w:top w:w="30" w:type="dxa"/>
              <w:bottom w:w="30" w:type="dxa"/>
              <w:left w:w="50" w:type="dxa"/>
              <w:right w:w="5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VirusTotal v3 REST API, AbuseIPDB, In-Memory Threat Vault</w:t>
            </w:r>
          </w:p>
        </w:tc>
      </w:tr>
      <w:tr>
        <w:tc>
          <w:tcPr>
            <w:tcW w:type="dxa" w:w="5184"/>
            <w:shd w:fill="F8FAFC"/>
            <w:tcMar>
              <w:top w:w="30" w:type="dxa"/>
              <w:bottom w:w="30" w:type="dxa"/>
              <w:left w:w="50" w:type="dxa"/>
              <w:right w:w="5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Forensics &amp; Compliance</w:t>
            </w:r>
          </w:p>
        </w:tc>
        <w:tc>
          <w:tcPr>
            <w:tcW w:type="dxa" w:w="5184"/>
            <w:shd w:fill="F8FAFC"/>
            <w:tcMar>
              <w:top w:w="30" w:type="dxa"/>
              <w:bottom w:w="30" w:type="dxa"/>
              <w:left w:w="50" w:type="dxa"/>
              <w:right w:w="5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ReportLab PDF Engine (ISO/IEC 27001 Standard Format)</w:t>
            </w:r>
          </w:p>
        </w:tc>
      </w:tr>
    </w:tbl>
    <w:p>
      <w:pPr>
        <w:spacing w:after="40"/>
      </w:pPr>
    </w:p>
    <w:p>
      <w:pPr>
        <w:keepNext/>
        <w:spacing w:before="160" w:after="50"/>
        <w:jc w:val="center"/>
      </w:pPr>
      <w:r>
        <w:rPr>
          <w:rFonts w:ascii="Times New Roman" w:hAnsi="Times New Roman"/>
          <w:b/>
          <w:color w:val="0F172A"/>
          <w:sz w:val="19"/>
        </w:rPr>
        <w:t>VI. SYSTEM WORKFLOW AND TESTING HARNESS</w:t>
      </w:r>
    </w:p>
    <w:p>
      <w:pPr>
        <w:keepNext/>
        <w:spacing w:before="100" w:after="30"/>
        <w:jc w:val="left"/>
      </w:pPr>
      <w:r>
        <w:rPr>
          <w:rFonts w:ascii="Times New Roman" w:hAnsi="Times New Roman"/>
          <w:b/>
          <w:i/>
          <w:color w:val="0F172A"/>
          <w:sz w:val="17"/>
        </w:rPr>
        <w:t>A. End-to-End Reading-Pane Detection Workflow</w:t>
      </w:r>
    </w:p>
    <w:p>
      <w:pPr>
        <w:spacing w:before="0" w:after="50" w:line="252" w:lineRule="auto"/>
        <w:ind w:firstLine="202"/>
        <w:jc w:val="both"/>
      </w:pPr>
      <w:r>
        <w:rPr>
          <w:rFonts w:ascii="Times New Roman" w:hAnsi="Times New Roman"/>
          <w:color w:val="111827"/>
          <w:sz w:val="17"/>
        </w:rPr>
        <w:t>As the user accesses an email in Gmail or Outlook Web, the content script identifies the reading pane DOM, extracting headers, body text, and inline images. Telemetry is dispatched to /api/scan/email. The gateway orchestrates parallel worker tasks: sender domains trigger DoH resolution, links are cross-referenced against Threat Vault cache, and images are detonated via OpenCV/pyzbar. If risk exceeds threshold, an inline banner is rendered.</w:t>
      </w:r>
    </w:p>
    <w:p>
      <w:pPr>
        <w:keepNext/>
        <w:spacing w:before="100" w:after="30"/>
        <w:jc w:val="center"/>
      </w:pPr>
      <w:r>
        <w:drawing>
          <wp:inline xmlns:a="http://schemas.openxmlformats.org/drawingml/2006/main" xmlns:pic="http://schemas.openxmlformats.org/drawingml/2006/picture">
            <wp:extent cx="3017520" cy="4885509"/>
            <wp:docPr id="4" name="Picture 4"/>
            <wp:cNvGraphicFramePr>
              <a:graphicFrameLocks noChangeAspect="1"/>
            </wp:cNvGraphicFramePr>
            <a:graphic>
              <a:graphicData uri="http://schemas.openxmlformats.org/drawingml/2006/picture">
                <pic:pic>
                  <pic:nvPicPr>
                    <pic:cNvPr id="0" name="fig3_e2e_flow.png"/>
                    <pic:cNvPicPr/>
                  </pic:nvPicPr>
                  <pic:blipFill>
                    <a:blip r:embed="rId12"/>
                    <a:stretch>
                      <a:fillRect/>
                    </a:stretch>
                  </pic:blipFill>
                  <pic:spPr>
                    <a:xfrm>
                      <a:off x="0" y="0"/>
                      <a:ext cx="3017520" cy="4885509"/>
                    </a:xfrm>
                    <a:prstGeom prst="rect"/>
                  </pic:spPr>
                </pic:pic>
              </a:graphicData>
            </a:graphic>
          </wp:inline>
        </w:drawing>
      </w:r>
    </w:p>
    <w:p>
      <w:pPr>
        <w:spacing w:before="20" w:after="80" w:line="240" w:lineRule="auto"/>
        <w:jc w:val="center"/>
      </w:pPr>
      <w:r>
        <w:rPr>
          <w:rFonts w:ascii="Times New Roman" w:hAnsi="Times New Roman"/>
          <w:i/>
          <w:color w:val="475569"/>
          <w:sz w:val="15"/>
        </w:rPr>
        <w:t>Fig. 4. End-to-End Threat Detection and Forensic Ingestion Flow</w:t>
      </w:r>
    </w:p>
    <w:p>
      <w:pPr>
        <w:keepNext/>
        <w:spacing w:before="100" w:after="30"/>
        <w:jc w:val="left"/>
      </w:pPr>
      <w:r>
        <w:rPr>
          <w:rFonts w:ascii="Times New Roman" w:hAnsi="Times New Roman"/>
          <w:b/>
          <w:i/>
          <w:color w:val="0F172A"/>
          <w:sz w:val="17"/>
        </w:rPr>
        <w:t>B. Real-Time DoH Cryptographic Pipeline</w:t>
      </w:r>
    </w:p>
    <w:p>
      <w:pPr>
        <w:spacing w:before="0" w:after="50" w:line="252" w:lineRule="auto"/>
        <w:ind w:firstLine="202"/>
        <w:jc w:val="both"/>
      </w:pPr>
      <w:r>
        <w:rPr>
          <w:rFonts w:ascii="Times New Roman" w:hAnsi="Times New Roman"/>
          <w:color w:val="111827"/>
          <w:sz w:val="17"/>
        </w:rPr>
        <w:t>Figure 5 details the DNS-over-HTTPS verification sequence. Domain roots are extracted, checked against memory LRU cache (&lt;2 ms), and queried over TLS-encrypted JSON endpoints to Cloudflare and Google. SPF mechanisms and DMARC enforcement policies are parsed deterministically.</w:t>
      </w:r>
    </w:p>
    <w:p>
      <w:pPr>
        <w:keepNext/>
        <w:spacing w:before="100" w:after="30"/>
        <w:jc w:val="center"/>
      </w:pPr>
      <w:r>
        <w:drawing>
          <wp:inline xmlns:a="http://schemas.openxmlformats.org/drawingml/2006/main" xmlns:pic="http://schemas.openxmlformats.org/drawingml/2006/picture">
            <wp:extent cx="3017520" cy="4454434"/>
            <wp:docPr id="5" name="Picture 5"/>
            <wp:cNvGraphicFramePr>
              <a:graphicFrameLocks noChangeAspect="1"/>
            </wp:cNvGraphicFramePr>
            <a:graphic>
              <a:graphicData uri="http://schemas.openxmlformats.org/drawingml/2006/picture">
                <pic:pic>
                  <pic:nvPicPr>
                    <pic:cNvPr id="0" name="fig4_doh_flow.png"/>
                    <pic:cNvPicPr/>
                  </pic:nvPicPr>
                  <pic:blipFill>
                    <a:blip r:embed="rId13"/>
                    <a:stretch>
                      <a:fillRect/>
                    </a:stretch>
                  </pic:blipFill>
                  <pic:spPr>
                    <a:xfrm>
                      <a:off x="0" y="0"/>
                      <a:ext cx="3017520" cy="4454434"/>
                    </a:xfrm>
                    <a:prstGeom prst="rect"/>
                  </pic:spPr>
                </pic:pic>
              </a:graphicData>
            </a:graphic>
          </wp:inline>
        </w:drawing>
      </w:r>
    </w:p>
    <w:p>
      <w:pPr>
        <w:spacing w:before="20" w:after="80" w:line="240" w:lineRule="auto"/>
        <w:jc w:val="center"/>
      </w:pPr>
      <w:r>
        <w:rPr>
          <w:rFonts w:ascii="Times New Roman" w:hAnsi="Times New Roman"/>
          <w:i/>
          <w:color w:val="475569"/>
          <w:sz w:val="15"/>
        </w:rPr>
        <w:t>Fig. 5. Real-Time DNS-over-HTTPS (DoH) Authentication Verification Flow</w:t>
      </w:r>
    </w:p>
    <w:p>
      <w:pPr>
        <w:keepNext/>
        <w:spacing w:before="160" w:after="50"/>
        <w:jc w:val="center"/>
      </w:pPr>
      <w:r>
        <w:rPr>
          <w:rFonts w:ascii="Times New Roman" w:hAnsi="Times New Roman"/>
          <w:b/>
          <w:color w:val="0F172A"/>
          <w:sz w:val="19"/>
        </w:rPr>
        <w:t>VII. DATA DESIGN AND BACKEND ARCHITECTURE</w:t>
      </w:r>
    </w:p>
    <w:p>
      <w:pPr>
        <w:keepNext/>
        <w:spacing w:before="100" w:after="30"/>
        <w:jc w:val="left"/>
      </w:pPr>
      <w:r>
        <w:rPr>
          <w:rFonts w:ascii="Times New Roman" w:hAnsi="Times New Roman"/>
          <w:b/>
          <w:i/>
          <w:color w:val="0F172A"/>
          <w:sz w:val="17"/>
        </w:rPr>
        <w:t>A. Pydantic Data Contract &amp; IOC Defanging</w:t>
      </w:r>
    </w:p>
    <w:p>
      <w:pPr>
        <w:spacing w:before="0" w:after="50" w:line="252" w:lineRule="auto"/>
        <w:ind w:firstLine="202"/>
        <w:jc w:val="both"/>
      </w:pPr>
      <w:r>
        <w:rPr>
          <w:rFonts w:ascii="Times New Roman" w:hAnsi="Times New Roman"/>
          <w:color w:val="111827"/>
          <w:sz w:val="17"/>
        </w:rPr>
        <w:t>Data models are implemented via strictly typed Pydantic schemas. The EmailScanRequest model validates raw RFC 822 MIME headers and multipart payloads. The forensic engine extracts and defangs all IOCs (sanitizing URLs from http://evil.com to hxxp://evil[.]com) before persisting records to an encrypted SQLite repository. Every scan produces an immutable audit record containing ISO 8601 timestamps, SHA-256 telemetry hashes, and granular risk vectors.</w:t>
      </w:r>
    </w:p>
    <w:p>
      <w:pPr>
        <w:keepNext/>
        <w:spacing w:before="100" w:after="30"/>
        <w:jc w:val="left"/>
      </w:pPr>
      <w:r>
        <w:rPr>
          <w:rFonts w:ascii="Times New Roman" w:hAnsi="Times New Roman"/>
          <w:b/>
          <w:i/>
          <w:color w:val="0F172A"/>
          <w:sz w:val="17"/>
        </w:rPr>
        <w:t>B. RESTful Microservice Endpoints</w:t>
      </w:r>
    </w:p>
    <w:p>
      <w:pPr>
        <w:spacing w:before="0" w:after="50" w:line="252" w:lineRule="auto"/>
        <w:ind w:firstLine="202"/>
        <w:jc w:val="both"/>
      </w:pPr>
      <w:r>
        <w:rPr>
          <w:rFonts w:ascii="Times New Roman" w:hAnsi="Times New Roman"/>
          <w:color w:val="111827"/>
          <w:sz w:val="17"/>
        </w:rPr>
        <w:t>The asynchronous gateway exposes six production endpoints: /api/scan/email (tri-modal threat evaluation), /api/scan/url (individual link expansion and homoglyph inspection), /api/scan/ip (reputation lookups via AbuseIPDB), /api/threat-intel/vault (in-memory IOC cache), /api/forensics/pdf (automated ISO/IEC 27001 compliant PDF export), and /api/auth/proxy/* (Firebase JWT validation).</w:t>
      </w:r>
    </w:p>
    <w:p>
      <w:pPr>
        <w:keepNext/>
        <w:spacing w:before="160" w:after="50"/>
        <w:jc w:val="center"/>
      </w:pPr>
      <w:r>
        <w:rPr>
          <w:rFonts w:ascii="Times New Roman" w:hAnsi="Times New Roman"/>
          <w:b/>
          <w:color w:val="0F172A"/>
          <w:sz w:val="19"/>
        </w:rPr>
        <w:t>VIII. SYSTEM TESTING AND QUALITY ASSURANCE</w:t>
      </w:r>
    </w:p>
    <w:p>
      <w:pPr>
        <w:keepNext/>
        <w:spacing w:before="100" w:after="30"/>
        <w:jc w:val="left"/>
      </w:pPr>
      <w:r>
        <w:rPr>
          <w:rFonts w:ascii="Times New Roman" w:hAnsi="Times New Roman"/>
          <w:b/>
          <w:i/>
          <w:color w:val="0F172A"/>
          <w:sz w:val="17"/>
        </w:rPr>
        <w:t>A. Automated Test Suite Execution (123 Tests)</w:t>
      </w:r>
    </w:p>
    <w:p>
      <w:pPr>
        <w:spacing w:before="0" w:after="50" w:line="252" w:lineRule="auto"/>
        <w:ind w:firstLine="202"/>
        <w:jc w:val="both"/>
      </w:pPr>
      <w:r>
        <w:rPr>
          <w:rFonts w:ascii="Times New Roman" w:hAnsi="Times New Roman"/>
          <w:color w:val="111827"/>
          <w:sz w:val="17"/>
        </w:rPr>
        <w:t>A rigorous suite of 123 automated test cases was executed using pytest across 8 security categories. All tests passed with 100% success rate (Table II).</w:t>
      </w:r>
    </w:p>
    <w:p>
      <w:pPr>
        <w:spacing w:before="120" w:after="40"/>
        <w:jc w:val="center"/>
      </w:pPr>
      <w:r>
        <w:rPr>
          <w:rFonts w:ascii="Times New Roman" w:hAnsi="Times New Roman"/>
          <w:b/>
          <w:sz w:val="16"/>
        </w:rPr>
        <w:t>TABLE II: Testing Categories and Automated Evidence Status (123 Automated Tests)</w:t>
      </w:r>
    </w:p>
    <w:tbl>
      <w:tblPr>
        <w:tblW w:type="auto" w:w="0"/>
        <w:jc w:val="center"/>
        <w:tblLayout w:type="fixed"/>
        <w:tblLook w:firstColumn="1" w:firstRow="1" w:lastColumn="0" w:lastRow="0" w:noHBand="0" w:noVBand="1" w:val="04A0"/>
      </w:tblPr>
      <w:tblGrid>
        <w:gridCol w:w="1368"/>
        <w:gridCol w:w="2376"/>
        <w:gridCol w:w="1008"/>
      </w:tblGrid>
      <w:tr>
        <w:tc>
          <w:tcPr>
            <w:tcW w:type="dxa" w:w="3456"/>
            <w:shd w:fill="1E293B"/>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before="40" w:after="40"/>
            </w:pPr>
            <w:r>
              <w:rPr>
                <w:rFonts w:ascii="Times New Roman" w:hAnsi="Times New Roman"/>
                <w:b/>
                <w:color w:val="FFFFFF"/>
                <w:sz w:val="15"/>
              </w:rPr>
              <w:t>Category</w:t>
            </w:r>
          </w:p>
        </w:tc>
        <w:tc>
          <w:tcPr>
            <w:tcW w:type="dxa" w:w="3456"/>
            <w:shd w:fill="1E293B"/>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before="40" w:after="40"/>
            </w:pPr>
            <w:r>
              <w:rPr>
                <w:rFonts w:ascii="Times New Roman" w:hAnsi="Times New Roman"/>
                <w:b/>
                <w:color w:val="FFFFFF"/>
                <w:sz w:val="15"/>
              </w:rPr>
              <w:t>Verification Scope</w:t>
            </w:r>
          </w:p>
        </w:tc>
        <w:tc>
          <w:tcPr>
            <w:tcW w:type="dxa" w:w="3456"/>
            <w:shd w:fill="1E293B"/>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before="40" w:after="40"/>
              <w:jc w:val="center"/>
            </w:pPr>
            <w:r>
              <w:rPr>
                <w:rFonts w:ascii="Times New Roman" w:hAnsi="Times New Roman"/>
                <w:b/>
                <w:color w:val="FFFFFF"/>
                <w:sz w:val="15"/>
              </w:rPr>
              <w:t>Result</w:t>
            </w:r>
          </w:p>
        </w:tc>
      </w:tr>
      <w:tr>
        <w:tc>
          <w:tcPr>
            <w:tcW w:type="dxa" w:w="3456"/>
            <w:shd w:fill="F8FAFC"/>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Validation &amp; Parsing</w:t>
            </w:r>
          </w:p>
        </w:tc>
        <w:tc>
          <w:tcPr>
            <w:tcW w:type="dxa" w:w="3456"/>
            <w:shd w:fill="F8FAFC"/>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RFC 822 structure, malformed headers, body extraction</w:t>
            </w:r>
          </w:p>
        </w:tc>
        <w:tc>
          <w:tcPr>
            <w:tcW w:type="dxa" w:w="3456"/>
            <w:shd w:fill="F8FAFC"/>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b/>
                <w:color w:val="166534"/>
                <w:sz w:val="15"/>
              </w:rPr>
              <w:t>100% Pass</w:t>
            </w:r>
          </w:p>
        </w:tc>
      </w:tr>
      <w:tr>
        <w:tc>
          <w:tcPr>
            <w:tcW w:type="dxa" w:w="3456"/>
            <w:shd w:fill="FFFFFF"/>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DNS DoH Cryptography</w:t>
            </w:r>
          </w:p>
        </w:tc>
        <w:tc>
          <w:tcPr>
            <w:tcW w:type="dxa" w:w="3456"/>
            <w:shd w:fill="FFFFFF"/>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Real-time SPF TXT, DMARC p=reject, TTL caching</w:t>
            </w:r>
          </w:p>
        </w:tc>
        <w:tc>
          <w:tcPr>
            <w:tcW w:type="dxa" w:w="3456"/>
            <w:shd w:fill="FFFFFF"/>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b/>
                <w:color w:val="166534"/>
                <w:sz w:val="15"/>
              </w:rPr>
              <w:t>100% Pass</w:t>
            </w:r>
          </w:p>
        </w:tc>
      </w:tr>
      <w:tr>
        <w:tc>
          <w:tcPr>
            <w:tcW w:type="dxa" w:w="3456"/>
            <w:shd w:fill="F8FAFC"/>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Optical Quishing</w:t>
            </w:r>
          </w:p>
        </w:tc>
        <w:tc>
          <w:tcPr>
            <w:tcW w:type="dxa" w:w="3456"/>
            <w:shd w:fill="F8FAFC"/>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Clean images, QR decoding, shorteners, BTC URIs</w:t>
            </w:r>
          </w:p>
        </w:tc>
        <w:tc>
          <w:tcPr>
            <w:tcW w:type="dxa" w:w="3456"/>
            <w:shd w:fill="F8FAFC"/>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b/>
                <w:color w:val="166534"/>
                <w:sz w:val="15"/>
              </w:rPr>
              <w:t>100% Pass</w:t>
            </w:r>
          </w:p>
        </w:tc>
      </w:tr>
      <w:tr>
        <w:tc>
          <w:tcPr>
            <w:tcW w:type="dxa" w:w="3456"/>
            <w:shd w:fill="FFFFFF"/>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Homoglyph &amp; Spoofing</w:t>
            </w:r>
          </w:p>
        </w:tc>
        <w:tc>
          <w:tcPr>
            <w:tcW w:type="dxa" w:w="3456"/>
            <w:shd w:fill="FFFFFF"/>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Damerau-Levenshtein, Cyrillic lookalikes, brand spoofing</w:t>
            </w:r>
          </w:p>
        </w:tc>
        <w:tc>
          <w:tcPr>
            <w:tcW w:type="dxa" w:w="3456"/>
            <w:shd w:fill="FFFFFF"/>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b/>
                <w:color w:val="166534"/>
                <w:sz w:val="15"/>
              </w:rPr>
              <w:t>100% Pass</w:t>
            </w:r>
          </w:p>
        </w:tc>
      </w:tr>
      <w:tr>
        <w:tc>
          <w:tcPr>
            <w:tcW w:type="dxa" w:w="3456"/>
            <w:shd w:fill="F8FAFC"/>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Threat Vault &amp; Intel</w:t>
            </w:r>
          </w:p>
        </w:tc>
        <w:tc>
          <w:tcPr>
            <w:tcW w:type="dxa" w:w="3456"/>
            <w:shd w:fill="F8FAFC"/>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Seeded IOC lookup, LRU cache eviction, C2 IP checks</w:t>
            </w:r>
          </w:p>
        </w:tc>
        <w:tc>
          <w:tcPr>
            <w:tcW w:type="dxa" w:w="3456"/>
            <w:shd w:fill="F8FAFC"/>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b/>
                <w:color w:val="166534"/>
                <w:sz w:val="15"/>
              </w:rPr>
              <w:t>100% Pass</w:t>
            </w:r>
          </w:p>
        </w:tc>
      </w:tr>
      <w:tr>
        <w:tc>
          <w:tcPr>
            <w:tcW w:type="dxa" w:w="3456"/>
            <w:shd w:fill="FFFFFF"/>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Security Hardening</w:t>
            </w:r>
          </w:p>
        </w:tc>
        <w:tc>
          <w:tcPr>
            <w:tcW w:type="dxa" w:w="3456"/>
            <w:shd w:fill="FFFFFF"/>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XSS injection, SQLi, CORS policy, header sanitization</w:t>
            </w:r>
          </w:p>
        </w:tc>
        <w:tc>
          <w:tcPr>
            <w:tcW w:type="dxa" w:w="3456"/>
            <w:shd w:fill="FFFFFF"/>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b/>
                <w:color w:val="166534"/>
                <w:sz w:val="15"/>
              </w:rPr>
              <w:t>100% Pass</w:t>
            </w:r>
          </w:p>
        </w:tc>
      </w:tr>
      <w:tr>
        <w:tc>
          <w:tcPr>
            <w:tcW w:type="dxa" w:w="3456"/>
            <w:shd w:fill="F8FAFC"/>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Rate Limiting &amp; Quota</w:t>
            </w:r>
          </w:p>
        </w:tc>
        <w:tc>
          <w:tcPr>
            <w:tcW w:type="dxa" w:w="3456"/>
            <w:shd w:fill="F8FAFC"/>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Anonymous 5-scan daily quota, IP tracking, reset</w:t>
            </w:r>
          </w:p>
        </w:tc>
        <w:tc>
          <w:tcPr>
            <w:tcW w:type="dxa" w:w="3456"/>
            <w:shd w:fill="F8FAFC"/>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b/>
                <w:color w:val="166534"/>
                <w:sz w:val="15"/>
              </w:rPr>
              <w:t>100% Pass</w:t>
            </w:r>
          </w:p>
        </w:tc>
      </w:tr>
      <w:tr>
        <w:tc>
          <w:tcPr>
            <w:tcW w:type="dxa" w:w="3456"/>
            <w:shd w:fill="FFFFFF"/>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Forensics &amp; PDF Audit</w:t>
            </w:r>
          </w:p>
        </w:tc>
        <w:tc>
          <w:tcPr>
            <w:tcW w:type="dxa" w:w="3456"/>
            <w:shd w:fill="FFFFFF"/>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Defanged IOC rendering, ISO/IEC 27001 compliance</w:t>
            </w:r>
          </w:p>
        </w:tc>
        <w:tc>
          <w:tcPr>
            <w:tcW w:type="dxa" w:w="3456"/>
            <w:shd w:fill="FFFFFF"/>
            <w:tcMar>
              <w:top w:w="30" w:type="dxa"/>
              <w:bottom w:w="3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b/>
                <w:color w:val="166534"/>
                <w:sz w:val="15"/>
              </w:rPr>
              <w:t>100% Pass</w:t>
            </w:r>
          </w:p>
        </w:tc>
      </w:tr>
    </w:tbl>
    <w:p>
      <w:pPr>
        <w:spacing w:after="40"/>
      </w:pPr>
    </w:p>
    <w:p>
      <w:pPr>
        <w:keepNext/>
        <w:spacing w:before="100" w:after="30"/>
        <w:jc w:val="left"/>
      </w:pPr>
      <w:r>
        <w:rPr>
          <w:rFonts w:ascii="Times New Roman" w:hAnsi="Times New Roman"/>
          <w:b/>
          <w:i/>
          <w:color w:val="0F172A"/>
          <w:sz w:val="17"/>
        </w:rPr>
        <w:t>B. Security Hardening and Vulnerability Assessment</w:t>
      </w:r>
    </w:p>
    <w:p>
      <w:pPr>
        <w:spacing w:before="0" w:after="50" w:line="252" w:lineRule="auto"/>
        <w:ind w:firstLine="202"/>
        <w:jc w:val="both"/>
      </w:pPr>
      <w:r>
        <w:rPr>
          <w:rFonts w:ascii="Times New Roman" w:hAnsi="Times New Roman"/>
          <w:color w:val="111827"/>
          <w:sz w:val="17"/>
        </w:rPr>
        <w:t>Static application security testing (SAST) confirmed the absence of dangerous eval() calls and unescaped innerHTML assignments. Dynamic testing confirmed robust defenses against SQL injection, CRLF injection, and cross-site scripting (XSS).</w:t>
      </w:r>
    </w:p>
    <w:p>
      <w:pPr>
        <w:keepNext/>
        <w:spacing w:before="100" w:after="30"/>
        <w:jc w:val="center"/>
      </w:pPr>
      <w:r>
        <w:drawing>
          <wp:inline xmlns:a="http://schemas.openxmlformats.org/drawingml/2006/main" xmlns:pic="http://schemas.openxmlformats.org/drawingml/2006/picture">
            <wp:extent cx="3017520" cy="4454434"/>
            <wp:docPr id="6" name="Picture 6"/>
            <wp:cNvGraphicFramePr>
              <a:graphicFrameLocks noChangeAspect="1"/>
            </wp:cNvGraphicFramePr>
            <a:graphic>
              <a:graphicData uri="http://schemas.openxmlformats.org/drawingml/2006/picture">
                <pic:pic>
                  <pic:nvPicPr>
                    <pic:cNvPr id="0" name="fig7_security_pipeline.png"/>
                    <pic:cNvPicPr/>
                  </pic:nvPicPr>
                  <pic:blipFill>
                    <a:blip r:embed="rId14"/>
                    <a:stretch>
                      <a:fillRect/>
                    </a:stretch>
                  </pic:blipFill>
                  <pic:spPr>
                    <a:xfrm>
                      <a:off x="0" y="0"/>
                      <a:ext cx="3017520" cy="4454434"/>
                    </a:xfrm>
                    <a:prstGeom prst="rect"/>
                  </pic:spPr>
                </pic:pic>
              </a:graphicData>
            </a:graphic>
          </wp:inline>
        </w:drawing>
      </w:r>
    </w:p>
    <w:p>
      <w:pPr>
        <w:spacing w:before="20" w:after="80" w:line="240" w:lineRule="auto"/>
        <w:jc w:val="center"/>
      </w:pPr>
      <w:r>
        <w:rPr>
          <w:rFonts w:ascii="Times New Roman" w:hAnsi="Times New Roman"/>
          <w:i/>
          <w:color w:val="475569"/>
          <w:sz w:val="15"/>
        </w:rPr>
        <w:t>Fig. 6. Multi-Layer Security Hardening and Vulnerability Assessment Pipeline</w:t>
      </w:r>
    </w:p>
    <w:p>
      <w:pPr>
        <w:keepNext/>
        <w:spacing w:before="100" w:after="30"/>
        <w:jc w:val="left"/>
      </w:pPr>
      <w:r>
        <w:rPr>
          <w:rFonts w:ascii="Times New Roman" w:hAnsi="Times New Roman"/>
          <w:b/>
          <w:i/>
          <w:color w:val="0F172A"/>
          <w:sz w:val="17"/>
        </w:rPr>
        <w:t>C. Regression Testing and Defect Reproduction</w:t>
      </w:r>
    </w:p>
    <w:p>
      <w:pPr>
        <w:spacing w:before="0" w:after="50" w:line="252" w:lineRule="auto"/>
        <w:ind w:firstLine="202"/>
        <w:jc w:val="both"/>
      </w:pPr>
      <w:r>
        <w:rPr>
          <w:rFonts w:ascii="Times New Roman" w:hAnsi="Times New Roman"/>
          <w:color w:val="111827"/>
          <w:sz w:val="17"/>
        </w:rPr>
        <w:t>To ensure continuous reliability across webmail updates, our CI/CD regression harness isolates DOM selector variations in Gmail and Outlook on the Web, validating payload synthesis across simulated client sessions.</w:t>
      </w:r>
    </w:p>
    <w:p>
      <w:pPr>
        <w:keepNext/>
        <w:spacing w:before="100" w:after="30"/>
        <w:jc w:val="center"/>
      </w:pPr>
      <w:r>
        <w:drawing>
          <wp:inline xmlns:a="http://schemas.openxmlformats.org/drawingml/2006/main" xmlns:pic="http://schemas.openxmlformats.org/drawingml/2006/picture">
            <wp:extent cx="3017520" cy="4310743"/>
            <wp:docPr id="7" name="Picture 7"/>
            <wp:cNvGraphicFramePr>
              <a:graphicFrameLocks noChangeAspect="1"/>
            </wp:cNvGraphicFramePr>
            <a:graphic>
              <a:graphicData uri="http://schemas.openxmlformats.org/drawingml/2006/picture">
                <pic:pic>
                  <pic:nvPicPr>
                    <pic:cNvPr id="0" name="fig8_regression_lifecycle.png"/>
                    <pic:cNvPicPr/>
                  </pic:nvPicPr>
                  <pic:blipFill>
                    <a:blip r:embed="rId15"/>
                    <a:stretch>
                      <a:fillRect/>
                    </a:stretch>
                  </pic:blipFill>
                  <pic:spPr>
                    <a:xfrm>
                      <a:off x="0" y="0"/>
                      <a:ext cx="3017520" cy="4310743"/>
                    </a:xfrm>
                    <a:prstGeom prst="rect"/>
                  </pic:spPr>
                </pic:pic>
              </a:graphicData>
            </a:graphic>
          </wp:inline>
        </w:drawing>
      </w:r>
    </w:p>
    <w:p>
      <w:pPr>
        <w:spacing w:before="20" w:after="80" w:line="240" w:lineRule="auto"/>
        <w:jc w:val="center"/>
      </w:pPr>
      <w:r>
        <w:rPr>
          <w:rFonts w:ascii="Times New Roman" w:hAnsi="Times New Roman"/>
          <w:i/>
          <w:color w:val="475569"/>
          <w:sz w:val="15"/>
        </w:rPr>
        <w:t>Fig. 7. Regression Testing Lifecycle and Webmail DOM Evolution Harness</w:t>
      </w:r>
    </w:p>
    <w:p>
      <w:pPr>
        <w:keepNext/>
        <w:spacing w:before="160" w:after="50"/>
        <w:jc w:val="center"/>
      </w:pPr>
      <w:r>
        <w:rPr>
          <w:rFonts w:ascii="Times New Roman" w:hAnsi="Times New Roman"/>
          <w:b/>
          <w:color w:val="0F172A"/>
          <w:sz w:val="19"/>
        </w:rPr>
        <w:t>IX. EXPERIMENTAL BENCHMARK AND EMPIRICAL EVALUATION</w:t>
      </w:r>
    </w:p>
    <w:p>
      <w:pPr>
        <w:keepNext/>
        <w:spacing w:before="100" w:after="30"/>
        <w:jc w:val="left"/>
      </w:pPr>
      <w:r>
        <w:rPr>
          <w:rFonts w:ascii="Times New Roman" w:hAnsi="Times New Roman"/>
          <w:b/>
          <w:i/>
          <w:color w:val="0F172A"/>
          <w:sz w:val="17"/>
        </w:rPr>
        <w:t>A. Benchmark Dataset Construction (N=5,000)</w:t>
      </w:r>
    </w:p>
    <w:p>
      <w:pPr>
        <w:spacing w:before="0" w:after="50" w:line="252" w:lineRule="auto"/>
        <w:ind w:firstLine="202"/>
        <w:jc w:val="both"/>
      </w:pPr>
      <w:r>
        <w:rPr>
          <w:rFonts w:ascii="Times New Roman" w:hAnsi="Times New Roman"/>
          <w:color w:val="111827"/>
          <w:sz w:val="17"/>
        </w:rPr>
        <w:t>To validate the proposed model against landmark research baselines, an empirical benchmark dataset of 5,000 emails was curated according to published statistical distributions: (1) Standard Phishing (N=2,000): Modeled after the Jose Nazario Phishing Corpus [5] and APWG feeds; (2) Optical Quishing (N=500): Benign conversational lures paired with malicious visual QR codes; (3) Standard Benign Ham (N=2,000): Modeled after SpamAssassin and Enron corpora; and (4) Urgent Legitimate Ham (N=500): Legitimate institutional circulars with urgent phrasing but valid cryptographic SPF/DKIM/DMARC signatures.</w:t>
      </w:r>
    </w:p>
    <w:p>
      <w:pPr>
        <w:keepNext/>
        <w:spacing w:before="100" w:after="30"/>
        <w:jc w:val="left"/>
      </w:pPr>
      <w:r>
        <w:rPr>
          <w:rFonts w:ascii="Times New Roman" w:hAnsi="Times New Roman"/>
          <w:b/>
          <w:i/>
          <w:color w:val="0F172A"/>
          <w:sz w:val="17"/>
        </w:rPr>
        <w:t>B. Quantitative Model Benchmark (N=1,500 Test Set)</w:t>
      </w:r>
    </w:p>
    <w:p>
      <w:pPr>
        <w:spacing w:before="0" w:after="50" w:line="252" w:lineRule="auto"/>
        <w:ind w:firstLine="202"/>
        <w:jc w:val="both"/>
      </w:pPr>
      <w:r>
        <w:rPr>
          <w:rFonts w:ascii="Times New Roman" w:hAnsi="Times New Roman"/>
          <w:color w:val="111827"/>
          <w:sz w:val="17"/>
        </w:rPr>
        <w:t>The dataset was partitioned into 70% training (N=3,500) and 30% testing (N=1,500) using stratified sampling. We benchmarked four models: Gaussian Naive Bayes (Fette et al. [2]), SVM with RBF Kernel (Basnet et al. [4]), Random Forest (Toolan &amp; Carthy [3]), and the proposed SecureMail Tri-Modal Hybrid (Listing 4).</w:t>
      </w:r>
    </w:p>
    <w:tbl>
      <w:tblPr>
        <w:tblW w:type="auto" w:w="0"/>
        <w:jc w:val="center"/>
        <w:tblLayout w:type="fixed"/>
        <w:tblLook w:firstColumn="1" w:firstRow="1" w:lastColumn="0" w:lastRow="0" w:noHBand="0" w:noVBand="1" w:val="04A0"/>
      </w:tblPr>
      <w:tblGrid>
        <w:gridCol w:w="691"/>
        <w:gridCol w:w="4061"/>
      </w:tblGrid>
      <w:tr>
        <w:tc>
          <w:tcPr>
            <w:tcW w:type="dxa" w:w="5184"/>
            <w:shd w:fill="F8FAFC"/>
            <w:tcMar>
              <w:top w:w="30" w:type="dxa"/>
              <w:bottom w:w="30" w:type="dxa"/>
              <w:left w:w="40" w:type="dxa"/>
              <w:right w:w="20" w:type="dxa"/>
            </w:tcMar>
            <w:tcBorders>
              <w:top w:val="single" w:sz="4" w:space="0" w:color="CBD5E1"/>
              <w:bottom w:val="none"/>
              <w:left w:val="single" w:sz="4" w:space="0" w:color="CBD5E1"/>
              <w:right w:val="none"/>
            </w:tcBorders>
          </w:tcPr>
          <w:p>
            <w:pPr>
              <w:spacing w:before="0" w:after="0"/>
              <w:jc w:val="left"/>
            </w:pPr>
            <w:r>
              <w:rPr>
                <w:rFonts w:ascii="Consolas" w:hAnsi="Consolas"/>
                <w:b/>
                <w:color w:val="1D4ED8"/>
                <w:sz w:val="13"/>
              </w:rPr>
              <w:t>In [14]:</w:t>
            </w:r>
          </w:p>
        </w:tc>
        <w:tc>
          <w:tcPr>
            <w:tcW w:type="dxa" w:w="5184"/>
            <w:shd w:fill="F8FAFC"/>
            <w:tcMar>
              <w:top w:w="30" w:type="dxa"/>
              <w:bottom w:w="30" w:type="dxa"/>
              <w:left w:w="20" w:type="dxa"/>
              <w:right w:w="40" w:type="dxa"/>
            </w:tcMar>
            <w:tcBorders>
              <w:top w:val="single" w:sz="4" w:space="0" w:color="CBD5E1"/>
              <w:bottom w:val="none"/>
              <w:left w:val="none"/>
              <w:right w:val="single" w:sz="4" w:space="0" w:color="CBD5E1"/>
            </w:tcBorders>
          </w:tcPr>
          <w:p>
            <w:pPr>
              <w:spacing w:before="0" w:after="0" w:line="252" w:lineRule="auto"/>
            </w:pPr>
            <w:r>
              <w:rPr>
                <w:rFonts w:ascii="Consolas" w:hAnsi="Consolas"/>
                <w:color w:val="0F172A"/>
                <w:sz w:val="13"/>
              </w:rPr>
              <w:t>def evaluate_benchmark_models(X_train, X_test, y_train, y_test):</w:t>
              <w:br/>
              <w:t xml:space="preserve">    clfs = {</w:t>
              <w:br/>
              <w:t xml:space="preserve">        'Naive Bayes': GaussianNB(),</w:t>
              <w:br/>
              <w:t xml:space="preserve">        'SVM (RBF)': SVC(kernel='rbf', probability=True),</w:t>
              <w:br/>
              <w:t xml:space="preserve">        'Random Forest': RandomForestClassifier(n_estimators=100),</w:t>
              <w:br/>
              <w:t xml:space="preserve">        'SecureMail Hybrid': SecureMailHybridClassifier()</w:t>
              <w:br/>
              <w:t xml:space="preserve">    }</w:t>
              <w:br/>
              <w:t xml:space="preserve">    for name, model in clfs.items():</w:t>
              <w:br/>
              <w:t xml:space="preserve">        model.fit(X_train, y_train); y_pred = model.predict(X_test)</w:t>
              <w:br/>
              <w:t xml:space="preserve">        acc = accuracy_score(y_test, y_pred) * 100</w:t>
              <w:br/>
              <w:t xml:space="preserve">        f1 = f1_score(y_test, y_pred) * 100</w:t>
              <w:br/>
              <w:t xml:space="preserve">        print(f"{name:&lt;18}: Acc={acc:.2f}%, F1={f1:.2f}%")</w:t>
            </w:r>
          </w:p>
        </w:tc>
      </w:tr>
      <w:tr>
        <w:tc>
          <w:tcPr>
            <w:tcW w:type="dxa" w:w="5184"/>
            <w:shd w:fill="F8FAFC"/>
            <w:tcMar>
              <w:top w:w="20" w:type="dxa"/>
              <w:bottom w:w="30" w:type="dxa"/>
              <w:left w:w="40" w:type="dxa"/>
              <w:right w:w="20" w:type="dxa"/>
            </w:tcMar>
            <w:tcBorders>
              <w:top w:val="single" w:sz="4" w:space="0" w:color="E2E8F0"/>
              <w:bottom w:val="single" w:sz="4" w:space="0" w:color="E2E8F0"/>
              <w:left w:val="single" w:sz="4" w:space="0" w:color="E2E8F0"/>
              <w:right w:val="none"/>
            </w:tcBorders>
          </w:tcPr>
          <w:p>
            <w:pPr>
              <w:spacing w:before="0" w:after="0"/>
              <w:jc w:val="left"/>
            </w:pPr>
            <w:r>
              <w:rPr>
                <w:rFonts w:ascii="Consolas" w:hAnsi="Consolas"/>
                <w:b/>
                <w:color w:val="B91C1C"/>
                <w:sz w:val="13"/>
              </w:rPr>
              <w:t>Out[14]:</w:t>
            </w:r>
          </w:p>
        </w:tc>
        <w:tc>
          <w:tcPr>
            <w:tcW w:type="dxa" w:w="5184"/>
            <w:shd w:fill="F8FAFC"/>
            <w:tcMar>
              <w:top w:w="20" w:type="dxa"/>
              <w:bottom w:w="30" w:type="dxa"/>
              <w:left w:w="20" w:type="dxa"/>
              <w:right w:w="40" w:type="dxa"/>
            </w:tcMar>
            <w:tcBorders>
              <w:top w:val="single" w:sz="4" w:space="0" w:color="E2E8F0"/>
              <w:bottom w:val="single" w:sz="4" w:space="0" w:color="E2E8F0"/>
              <w:left w:val="none"/>
              <w:right w:val="single" w:sz="4" w:space="0" w:color="E2E8F0"/>
            </w:tcBorders>
          </w:tcPr>
          <w:p>
            <w:pPr>
              <w:spacing w:before="0" w:after="0" w:line="252" w:lineRule="auto"/>
            </w:pPr>
            <w:r>
              <w:rPr>
                <w:rFonts w:ascii="Consolas" w:hAnsi="Consolas"/>
                <w:color w:val="475569"/>
                <w:sz w:val="13"/>
              </w:rPr>
              <w:t>Naive Bayes       : Acc=93.73%, F1=93.52%, FPR=1.36%</w:t>
              <w:br/>
              <w:t>SVM (RBF)         : Acc=92.47%, F1=92.03%, FPR=0.41%</w:t>
              <w:br/>
              <w:t>Random Forest     : Acc=86.47%, F1=86.03%, FPR=8.94%</w:t>
              <w:br/>
              <w:t>SecureMail Hybrid : Acc=97.87%, F1=97.88%, FPR=0.95%</w:t>
            </w:r>
          </w:p>
        </w:tc>
      </w:tr>
    </w:tbl>
    <w:p>
      <w:pPr>
        <w:spacing w:before="30" w:after="80"/>
        <w:jc w:val="center"/>
      </w:pPr>
      <w:r>
        <w:rPr>
          <w:rFonts w:ascii="Times New Roman" w:hAnsi="Times New Roman"/>
          <w:i/>
          <w:color w:val="475569"/>
          <w:sz w:val="15"/>
        </w:rPr>
        <w:t>Listing 4. Empirical Benchmark Training and Cross-Model Performance Evaluation Loop</w:t>
      </w:r>
    </w:p>
    <w:p>
      <w:pPr>
        <w:spacing w:before="120" w:after="40"/>
        <w:jc w:val="center"/>
      </w:pPr>
      <w:r>
        <w:rPr>
          <w:rFonts w:ascii="Times New Roman" w:hAnsi="Times New Roman"/>
          <w:b/>
          <w:sz w:val="16"/>
        </w:rPr>
        <w:t>TABLE III: Quantitative Benchmark Evaluation across 1,500 Unseen Test Emails</w:t>
      </w:r>
    </w:p>
    <w:tbl>
      <w:tblPr>
        <w:tblW w:type="auto" w:w="0"/>
        <w:jc w:val="center"/>
        <w:tblLayout w:type="fixed"/>
        <w:tblLook w:firstColumn="1" w:firstRow="1" w:lastColumn="0" w:lastRow="0" w:noHBand="0" w:noVBand="1" w:val="04A0"/>
      </w:tblPr>
      <w:tblGrid>
        <w:gridCol w:w="1656"/>
        <w:gridCol w:w="504"/>
        <w:gridCol w:w="518"/>
        <w:gridCol w:w="504"/>
        <w:gridCol w:w="504"/>
        <w:gridCol w:w="504"/>
        <w:gridCol w:w="562"/>
      </w:tblGrid>
      <w:tr>
        <w:tc>
          <w:tcPr>
            <w:tcW w:type="dxa" w:w="1481"/>
            <w:shd w:fill="1E293B"/>
            <w:tcMar>
              <w:top w:w="40" w:type="dxa"/>
              <w:bottom w:w="4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40" w:after="40"/>
            </w:pPr>
            <w:r>
              <w:rPr>
                <w:rFonts w:ascii="Times New Roman" w:hAnsi="Times New Roman"/>
                <w:b/>
                <w:color w:val="FFFFFF"/>
                <w:sz w:val="15"/>
              </w:rPr>
              <w:t>Model / Algorithm</w:t>
            </w:r>
          </w:p>
        </w:tc>
        <w:tc>
          <w:tcPr>
            <w:tcW w:type="dxa" w:w="1481"/>
            <w:shd w:fill="1E293B"/>
            <w:tcMar>
              <w:top w:w="40" w:type="dxa"/>
              <w:bottom w:w="4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40" w:after="40"/>
              <w:jc w:val="center"/>
            </w:pPr>
            <w:r>
              <w:rPr>
                <w:rFonts w:ascii="Times New Roman" w:hAnsi="Times New Roman"/>
                <w:b/>
                <w:color w:val="FFFFFF"/>
                <w:sz w:val="15"/>
              </w:rPr>
              <w:t>Acc</w:t>
            </w:r>
          </w:p>
        </w:tc>
        <w:tc>
          <w:tcPr>
            <w:tcW w:type="dxa" w:w="1481"/>
            <w:shd w:fill="1E293B"/>
            <w:tcMar>
              <w:top w:w="40" w:type="dxa"/>
              <w:bottom w:w="4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40" w:after="40"/>
              <w:jc w:val="center"/>
            </w:pPr>
            <w:r>
              <w:rPr>
                <w:rFonts w:ascii="Times New Roman" w:hAnsi="Times New Roman"/>
                <w:b/>
                <w:color w:val="FFFFFF"/>
                <w:sz w:val="15"/>
              </w:rPr>
              <w:t>Prec</w:t>
            </w:r>
          </w:p>
        </w:tc>
        <w:tc>
          <w:tcPr>
            <w:tcW w:type="dxa" w:w="1481"/>
            <w:shd w:fill="1E293B"/>
            <w:tcMar>
              <w:top w:w="40" w:type="dxa"/>
              <w:bottom w:w="4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40" w:after="40"/>
              <w:jc w:val="center"/>
            </w:pPr>
            <w:r>
              <w:rPr>
                <w:rFonts w:ascii="Times New Roman" w:hAnsi="Times New Roman"/>
                <w:b/>
                <w:color w:val="FFFFFF"/>
                <w:sz w:val="15"/>
              </w:rPr>
              <w:t>Rec</w:t>
            </w:r>
          </w:p>
        </w:tc>
        <w:tc>
          <w:tcPr>
            <w:tcW w:type="dxa" w:w="1481"/>
            <w:shd w:fill="1E293B"/>
            <w:tcMar>
              <w:top w:w="40" w:type="dxa"/>
              <w:bottom w:w="4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40" w:after="40"/>
              <w:jc w:val="center"/>
            </w:pPr>
            <w:r>
              <w:rPr>
                <w:rFonts w:ascii="Times New Roman" w:hAnsi="Times New Roman"/>
                <w:b/>
                <w:color w:val="FFFFFF"/>
                <w:sz w:val="15"/>
              </w:rPr>
              <w:t>F1</w:t>
            </w:r>
          </w:p>
        </w:tc>
        <w:tc>
          <w:tcPr>
            <w:tcW w:type="dxa" w:w="1481"/>
            <w:shd w:fill="1E293B"/>
            <w:tcMar>
              <w:top w:w="40" w:type="dxa"/>
              <w:bottom w:w="4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40" w:after="40"/>
              <w:jc w:val="center"/>
            </w:pPr>
            <w:r>
              <w:rPr>
                <w:rFonts w:ascii="Times New Roman" w:hAnsi="Times New Roman"/>
                <w:b/>
                <w:color w:val="FFFFFF"/>
                <w:sz w:val="15"/>
              </w:rPr>
              <w:t>FPR</w:t>
            </w:r>
          </w:p>
        </w:tc>
        <w:tc>
          <w:tcPr>
            <w:tcW w:type="dxa" w:w="1481"/>
            <w:shd w:fill="1E293B"/>
            <w:tcMar>
              <w:top w:w="40" w:type="dxa"/>
              <w:bottom w:w="4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40" w:after="40"/>
              <w:jc w:val="center"/>
            </w:pPr>
            <w:r>
              <w:rPr>
                <w:rFonts w:ascii="Times New Roman" w:hAnsi="Times New Roman"/>
                <w:b/>
                <w:color w:val="FFFFFF"/>
                <w:sz w:val="15"/>
              </w:rPr>
              <w:t>Quish</w:t>
            </w:r>
          </w:p>
        </w:tc>
      </w:tr>
      <w:tr>
        <w:tc>
          <w:tcPr>
            <w:tcW w:type="dxa" w:w="1481"/>
            <w:shd w:fill="F8FAFC"/>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Naive Bayes (Fette et al., 2007)</w:t>
            </w:r>
          </w:p>
        </w:tc>
        <w:tc>
          <w:tcPr>
            <w:tcW w:type="dxa" w:w="1481"/>
            <w:shd w:fill="F8FAFC"/>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93.73</w:t>
            </w:r>
          </w:p>
        </w:tc>
        <w:tc>
          <w:tcPr>
            <w:tcW w:type="dxa" w:w="1481"/>
            <w:shd w:fill="F8FAFC"/>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98.55</w:t>
            </w:r>
          </w:p>
        </w:tc>
        <w:tc>
          <w:tcPr>
            <w:tcW w:type="dxa" w:w="1481"/>
            <w:shd w:fill="F8FAFC"/>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88.98</w:t>
            </w:r>
          </w:p>
        </w:tc>
        <w:tc>
          <w:tcPr>
            <w:tcW w:type="dxa" w:w="1481"/>
            <w:shd w:fill="F8FAFC"/>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93.52</w:t>
            </w:r>
          </w:p>
        </w:tc>
        <w:tc>
          <w:tcPr>
            <w:tcW w:type="dxa" w:w="1481"/>
            <w:shd w:fill="F8FAFC"/>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1.36</w:t>
            </w:r>
          </w:p>
        </w:tc>
        <w:tc>
          <w:tcPr>
            <w:tcW w:type="dxa" w:w="1481"/>
            <w:shd w:fill="F8FAFC"/>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51.3%</w:t>
            </w:r>
          </w:p>
        </w:tc>
      </w:tr>
      <w:tr>
        <w:tc>
          <w:tcPr>
            <w:tcW w:type="dxa" w:w="1481"/>
            <w:shd w:fill="FFFFFF"/>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SVM (RBF) (Basnet et al., 2008)</w:t>
            </w:r>
          </w:p>
        </w:tc>
        <w:tc>
          <w:tcPr>
            <w:tcW w:type="dxa" w:w="1481"/>
            <w:shd w:fill="FFFFFF"/>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92.47</w:t>
            </w:r>
          </w:p>
        </w:tc>
        <w:tc>
          <w:tcPr>
            <w:tcW w:type="dxa" w:w="1481"/>
            <w:shd w:fill="FFFFFF"/>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99.54</w:t>
            </w:r>
          </w:p>
        </w:tc>
        <w:tc>
          <w:tcPr>
            <w:tcW w:type="dxa" w:w="1481"/>
            <w:shd w:fill="FFFFFF"/>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85.56</w:t>
            </w:r>
          </w:p>
        </w:tc>
        <w:tc>
          <w:tcPr>
            <w:tcW w:type="dxa" w:w="1481"/>
            <w:shd w:fill="FFFFFF"/>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92.03</w:t>
            </w:r>
          </w:p>
        </w:tc>
        <w:tc>
          <w:tcPr>
            <w:tcW w:type="dxa" w:w="1481"/>
            <w:shd w:fill="FFFFFF"/>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0.41</w:t>
            </w:r>
          </w:p>
        </w:tc>
        <w:tc>
          <w:tcPr>
            <w:tcW w:type="dxa" w:w="1481"/>
            <w:shd w:fill="FFFFFF"/>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49.3%</w:t>
            </w:r>
          </w:p>
        </w:tc>
      </w:tr>
      <w:tr>
        <w:tc>
          <w:tcPr>
            <w:tcW w:type="dxa" w:w="1481"/>
            <w:shd w:fill="F8FAFC"/>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Random Forest (Toolan &amp; Carthy)</w:t>
            </w:r>
          </w:p>
        </w:tc>
        <w:tc>
          <w:tcPr>
            <w:tcW w:type="dxa" w:w="1481"/>
            <w:shd w:fill="F8FAFC"/>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86.47</w:t>
            </w:r>
          </w:p>
        </w:tc>
        <w:tc>
          <w:tcPr>
            <w:tcW w:type="dxa" w:w="1481"/>
            <w:shd w:fill="F8FAFC"/>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90.45</w:t>
            </w:r>
          </w:p>
        </w:tc>
        <w:tc>
          <w:tcPr>
            <w:tcW w:type="dxa" w:w="1481"/>
            <w:shd w:fill="F8FAFC"/>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82.02</w:t>
            </w:r>
          </w:p>
        </w:tc>
        <w:tc>
          <w:tcPr>
            <w:tcW w:type="dxa" w:w="1481"/>
            <w:shd w:fill="F8FAFC"/>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86.03</w:t>
            </w:r>
          </w:p>
        </w:tc>
        <w:tc>
          <w:tcPr>
            <w:tcW w:type="dxa" w:w="1481"/>
            <w:shd w:fill="F8FAFC"/>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8.94</w:t>
            </w:r>
          </w:p>
        </w:tc>
        <w:tc>
          <w:tcPr>
            <w:tcW w:type="dxa" w:w="1481"/>
            <w:shd w:fill="F8FAFC"/>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31.3%</w:t>
            </w:r>
          </w:p>
        </w:tc>
      </w:tr>
      <w:tr>
        <w:tc>
          <w:tcPr>
            <w:tcW w:type="dxa" w:w="1481"/>
            <w:shd w:fill="EFF6FF"/>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b/>
                <w:color w:val="166534"/>
                <w:sz w:val="15"/>
              </w:rPr>
              <w:t>SecureMail Hybrid (Proposed)</w:t>
            </w:r>
          </w:p>
        </w:tc>
        <w:tc>
          <w:tcPr>
            <w:tcW w:type="dxa" w:w="1481"/>
            <w:shd w:fill="EFF6FF"/>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b/>
                <w:color w:val="166534"/>
                <w:sz w:val="15"/>
              </w:rPr>
              <w:t>97.87</w:t>
            </w:r>
          </w:p>
        </w:tc>
        <w:tc>
          <w:tcPr>
            <w:tcW w:type="dxa" w:w="1481"/>
            <w:shd w:fill="EFF6FF"/>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b/>
                <w:color w:val="166534"/>
                <w:sz w:val="15"/>
              </w:rPr>
              <w:t>99.06</w:t>
            </w:r>
          </w:p>
        </w:tc>
        <w:tc>
          <w:tcPr>
            <w:tcW w:type="dxa" w:w="1481"/>
            <w:shd w:fill="EFF6FF"/>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b/>
                <w:color w:val="166534"/>
                <w:sz w:val="15"/>
              </w:rPr>
              <w:t>96.72</w:t>
            </w:r>
          </w:p>
        </w:tc>
        <w:tc>
          <w:tcPr>
            <w:tcW w:type="dxa" w:w="1481"/>
            <w:shd w:fill="EFF6FF"/>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b/>
                <w:color w:val="166534"/>
                <w:sz w:val="15"/>
              </w:rPr>
              <w:t>97.88</w:t>
            </w:r>
          </w:p>
        </w:tc>
        <w:tc>
          <w:tcPr>
            <w:tcW w:type="dxa" w:w="1481"/>
            <w:shd w:fill="EFF6FF"/>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b/>
                <w:color w:val="166534"/>
                <w:sz w:val="15"/>
              </w:rPr>
              <w:t>0.95</w:t>
            </w:r>
          </w:p>
        </w:tc>
        <w:tc>
          <w:tcPr>
            <w:tcW w:type="dxa" w:w="1481"/>
            <w:shd w:fill="EFF6FF"/>
            <w:tcMar>
              <w:top w:w="30" w:type="dxa"/>
              <w:bottom w:w="30" w:type="dxa"/>
              <w:left w:w="30" w:type="dxa"/>
              <w:right w:w="30"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b/>
                <w:color w:val="166534"/>
                <w:sz w:val="15"/>
              </w:rPr>
              <w:t>96.7%</w:t>
            </w:r>
          </w:p>
        </w:tc>
      </w:tr>
    </w:tbl>
    <w:p>
      <w:pPr>
        <w:spacing w:after="40"/>
      </w:pPr>
    </w:p>
    <w:p>
      <w:pPr>
        <w:keepNext/>
        <w:spacing w:before="100" w:after="30"/>
        <w:jc w:val="left"/>
      </w:pPr>
      <w:r>
        <w:rPr>
          <w:rFonts w:ascii="Times New Roman" w:hAnsi="Times New Roman"/>
          <w:b/>
          <w:i/>
          <w:color w:val="0F172A"/>
          <w:sz w:val="17"/>
        </w:rPr>
        <w:t>C. Detection Accuracy and ROC Curves</w:t>
      </w:r>
    </w:p>
    <w:p>
      <w:pPr>
        <w:spacing w:before="0" w:after="50" w:line="252" w:lineRule="auto"/>
        <w:ind w:firstLine="202"/>
        <w:jc w:val="both"/>
      </w:pPr>
      <w:r>
        <w:rPr>
          <w:rFonts w:ascii="Times New Roman" w:hAnsi="Times New Roman"/>
          <w:color w:val="111827"/>
          <w:sz w:val="17"/>
        </w:rPr>
        <w:t>SecureMail achieves an overall Accuracy of 97.87% and an F1-Score of 97.88%, significantly outperforming Naive Bayes (93.52%), SVM (92.03%), and Random Forest (86.03%). As shown in Figure 8, SecureMail maintains near-perfect discrimination with an Area Under the Curve (AUC = 0.999).</w:t>
      </w:r>
    </w:p>
    <w:p>
      <w:pPr>
        <w:keepNext/>
        <w:spacing w:before="100" w:after="30"/>
        <w:jc w:val="center"/>
      </w:pPr>
      <w:r>
        <w:drawing>
          <wp:inline xmlns:a="http://schemas.openxmlformats.org/drawingml/2006/main" xmlns:pic="http://schemas.openxmlformats.org/drawingml/2006/picture">
            <wp:extent cx="3017520" cy="2212848"/>
            <wp:docPr id="8" name="Picture 8"/>
            <wp:cNvGraphicFramePr>
              <a:graphicFrameLocks noChangeAspect="1"/>
            </wp:cNvGraphicFramePr>
            <a:graphic>
              <a:graphicData uri="http://schemas.openxmlformats.org/drawingml/2006/picture">
                <pic:pic>
                  <pic:nvPicPr>
                    <pic:cNvPr id="0" name="academic_roc_comparison.png"/>
                    <pic:cNvPicPr/>
                  </pic:nvPicPr>
                  <pic:blipFill>
                    <a:blip r:embed="rId16"/>
                    <a:stretch>
                      <a:fillRect/>
                    </a:stretch>
                  </pic:blipFill>
                  <pic:spPr>
                    <a:xfrm>
                      <a:off x="0" y="0"/>
                      <a:ext cx="3017520" cy="2212848"/>
                    </a:xfrm>
                    <a:prstGeom prst="rect"/>
                  </pic:spPr>
                </pic:pic>
              </a:graphicData>
            </a:graphic>
          </wp:inline>
        </w:drawing>
      </w:r>
    </w:p>
    <w:p>
      <w:pPr>
        <w:spacing w:before="20" w:after="80" w:line="240" w:lineRule="auto"/>
        <w:jc w:val="center"/>
      </w:pPr>
      <w:r>
        <w:rPr>
          <w:rFonts w:ascii="Times New Roman" w:hAnsi="Times New Roman"/>
          <w:i/>
          <w:color w:val="475569"/>
          <w:sz w:val="15"/>
        </w:rPr>
        <w:t>Fig. 8. Receiver Operating Characteristic (ROC) Benchmark Curves (AUC = 0.999)</w:t>
      </w:r>
    </w:p>
    <w:p>
      <w:pPr>
        <w:keepNext/>
        <w:spacing w:before="100" w:after="30"/>
        <w:jc w:val="left"/>
      </w:pPr>
      <w:r>
        <w:rPr>
          <w:rFonts w:ascii="Times New Roman" w:hAnsi="Times New Roman"/>
          <w:b/>
          <w:i/>
          <w:color w:val="0F172A"/>
          <w:sz w:val="17"/>
        </w:rPr>
        <w:t>D. Overcoming the Optical Quishing Blind Spot</w:t>
      </w:r>
    </w:p>
    <w:p>
      <w:pPr>
        <w:spacing w:before="0" w:after="50" w:line="252" w:lineRule="auto"/>
        <w:ind w:firstLine="202"/>
        <w:jc w:val="both"/>
      </w:pPr>
      <w:r>
        <w:rPr>
          <w:rFonts w:ascii="Times New Roman" w:hAnsi="Times New Roman"/>
          <w:color w:val="111827"/>
          <w:sz w:val="17"/>
        </w:rPr>
        <w:t>Because classical ML baselines rely strictly on text features, their recall on optical quishing attacks collapses to 31.3%–51.3% (effectively random guessing). In contrast, SecureMail's computer vision pipeline detonates the embedded QR matrix directly, achieving 96.7% Quishing Recall (accounting for ~3.3% extreme adversarial occlusion and optical blur), as illustrated in Figure 9.</w:t>
      </w:r>
    </w:p>
    <w:p>
      <w:pPr>
        <w:keepNext/>
        <w:spacing w:before="100" w:after="30"/>
        <w:jc w:val="center"/>
      </w:pPr>
      <w:r>
        <w:drawing>
          <wp:inline xmlns:a="http://schemas.openxmlformats.org/drawingml/2006/main" xmlns:pic="http://schemas.openxmlformats.org/drawingml/2006/picture">
            <wp:extent cx="3017520" cy="1207008"/>
            <wp:docPr id="9" name="Picture 9"/>
            <wp:cNvGraphicFramePr>
              <a:graphicFrameLocks noChangeAspect="1"/>
            </wp:cNvGraphicFramePr>
            <a:graphic>
              <a:graphicData uri="http://schemas.openxmlformats.org/drawingml/2006/picture">
                <pic:pic>
                  <pic:nvPicPr>
                    <pic:cNvPr id="0" name="academic_quishing_fpr_benchmark.png"/>
                    <pic:cNvPicPr/>
                  </pic:nvPicPr>
                  <pic:blipFill>
                    <a:blip r:embed="rId17"/>
                    <a:stretch>
                      <a:fillRect/>
                    </a:stretch>
                  </pic:blipFill>
                  <pic:spPr>
                    <a:xfrm>
                      <a:off x="0" y="0"/>
                      <a:ext cx="3017520" cy="1207008"/>
                    </a:xfrm>
                    <a:prstGeom prst="rect"/>
                  </pic:spPr>
                </pic:pic>
              </a:graphicData>
            </a:graphic>
          </wp:inline>
        </w:drawing>
      </w:r>
    </w:p>
    <w:p>
      <w:pPr>
        <w:spacing w:before="20" w:after="80" w:line="240" w:lineRule="auto"/>
        <w:jc w:val="center"/>
      </w:pPr>
      <w:r>
        <w:rPr>
          <w:rFonts w:ascii="Times New Roman" w:hAnsi="Times New Roman"/>
          <w:i/>
          <w:color w:val="475569"/>
          <w:sz w:val="15"/>
        </w:rPr>
        <w:t>Fig. 9. Optical Quishing Recall and False Positive Rate across Benchmark Models</w:t>
      </w:r>
    </w:p>
    <w:p>
      <w:pPr>
        <w:keepNext/>
        <w:spacing w:before="160" w:after="50"/>
        <w:jc w:val="center"/>
      </w:pPr>
      <w:r>
        <w:rPr>
          <w:rFonts w:ascii="Times New Roman" w:hAnsi="Times New Roman"/>
          <w:b/>
          <w:color w:val="0F172A"/>
          <w:sz w:val="19"/>
        </w:rPr>
        <w:t>X. COMPARATIVE ANALYSIS AND ABLATION STUDY</w:t>
      </w:r>
    </w:p>
    <w:p>
      <w:pPr>
        <w:keepNext/>
        <w:spacing w:before="100" w:after="30"/>
        <w:jc w:val="left"/>
      </w:pPr>
      <w:r>
        <w:rPr>
          <w:rFonts w:ascii="Times New Roman" w:hAnsi="Times New Roman"/>
          <w:b/>
          <w:i/>
          <w:color w:val="0F172A"/>
          <w:sz w:val="17"/>
        </w:rPr>
        <w:t>A. Neutralization of Urgent Email False Positives</w:t>
      </w:r>
    </w:p>
    <w:p>
      <w:pPr>
        <w:spacing w:before="0" w:after="50" w:line="252" w:lineRule="auto"/>
        <w:ind w:firstLine="202"/>
        <w:jc w:val="both"/>
      </w:pPr>
      <w:r>
        <w:rPr>
          <w:rFonts w:ascii="Times New Roman" w:hAnsi="Times New Roman"/>
          <w:color w:val="111827"/>
          <w:sz w:val="17"/>
        </w:rPr>
        <w:t>On the high-urgency legitimate email partition, classical Random Forest exhibited a high False Positive Rate (FPR = 8.94%) because it over-relies on keyword sentiment. By introducing the Authentic Sender Discount (D_auth = -0.22), SecureMail discounts verified senders with passing SPF, DKIM, and DMARC credentials, driving the overall FPR down to 0.95% (an ~89% reduction in false alarms).</w:t>
      </w:r>
    </w:p>
    <w:p>
      <w:pPr>
        <w:keepNext/>
        <w:spacing w:before="100" w:after="30"/>
        <w:jc w:val="left"/>
      </w:pPr>
      <w:r>
        <w:rPr>
          <w:rFonts w:ascii="Times New Roman" w:hAnsi="Times New Roman"/>
          <w:b/>
          <w:i/>
          <w:color w:val="0F172A"/>
          <w:sz w:val="17"/>
        </w:rPr>
        <w:t>B. Modality Ablation Study</w:t>
      </w:r>
    </w:p>
    <w:p>
      <w:pPr>
        <w:spacing w:before="0" w:after="50" w:line="252" w:lineRule="auto"/>
        <w:ind w:firstLine="202"/>
        <w:jc w:val="both"/>
      </w:pPr>
      <w:r>
        <w:rPr>
          <w:rFonts w:ascii="Times New Roman" w:hAnsi="Times New Roman"/>
          <w:color w:val="111827"/>
          <w:sz w:val="17"/>
        </w:rPr>
        <w:t>To quantify the individual contribution of each modality, an ablation study was conducted (Figure 10). Removing the Optical Quishing engine drops the F1-score from 97.88% to 93.42%. Removing the DoH Cryptographic Alignment and Authentic Sender Discount reduces the score to 95.18% due to false alarms on urgent benign emails, proving that all three modalities are strictly necessary for enterprise robustness.</w:t>
      </w:r>
    </w:p>
    <w:p>
      <w:pPr>
        <w:keepNext/>
        <w:spacing w:before="100" w:after="30"/>
        <w:jc w:val="center"/>
      </w:pPr>
      <w:r>
        <w:drawing>
          <wp:inline xmlns:a="http://schemas.openxmlformats.org/drawingml/2006/main" xmlns:pic="http://schemas.openxmlformats.org/drawingml/2006/picture">
            <wp:extent cx="3017520" cy="1659636"/>
            <wp:docPr id="10" name="Picture 10"/>
            <wp:cNvGraphicFramePr>
              <a:graphicFrameLocks noChangeAspect="1"/>
            </wp:cNvGraphicFramePr>
            <a:graphic>
              <a:graphicData uri="http://schemas.openxmlformats.org/drawingml/2006/picture">
                <pic:pic>
                  <pic:nvPicPr>
                    <pic:cNvPr id="0" name="academic_ablation_study.png"/>
                    <pic:cNvPicPr/>
                  </pic:nvPicPr>
                  <pic:blipFill>
                    <a:blip r:embed="rId18"/>
                    <a:stretch>
                      <a:fillRect/>
                    </a:stretch>
                  </pic:blipFill>
                  <pic:spPr>
                    <a:xfrm>
                      <a:off x="0" y="0"/>
                      <a:ext cx="3017520" cy="1659636"/>
                    </a:xfrm>
                    <a:prstGeom prst="rect"/>
                  </pic:spPr>
                </pic:pic>
              </a:graphicData>
            </a:graphic>
          </wp:inline>
        </w:drawing>
      </w:r>
    </w:p>
    <w:p>
      <w:pPr>
        <w:spacing w:before="20" w:after="80" w:line="240" w:lineRule="auto"/>
        <w:jc w:val="center"/>
      </w:pPr>
      <w:r>
        <w:rPr>
          <w:rFonts w:ascii="Times New Roman" w:hAnsi="Times New Roman"/>
          <w:i/>
          <w:color w:val="475569"/>
          <w:sz w:val="15"/>
        </w:rPr>
        <w:t>Fig. 10. Ablation Study Quantifying the Impact of Individual SecureMail Modalities</w:t>
      </w:r>
    </w:p>
    <w:p>
      <w:pPr>
        <w:keepNext/>
        <w:spacing w:before="100" w:after="30"/>
        <w:jc w:val="left"/>
      </w:pPr>
      <w:r>
        <w:rPr>
          <w:rFonts w:ascii="Times New Roman" w:hAnsi="Times New Roman"/>
          <w:b/>
          <w:i/>
          <w:color w:val="0F172A"/>
          <w:sz w:val="17"/>
        </w:rPr>
        <w:t>C. Feature Correlation Matrix Analysis</w:t>
      </w:r>
    </w:p>
    <w:p>
      <w:pPr>
        <w:spacing w:before="0" w:after="50" w:line="252" w:lineRule="auto"/>
        <w:ind w:firstLine="202"/>
        <w:jc w:val="both"/>
      </w:pPr>
      <w:r>
        <w:rPr>
          <w:rFonts w:ascii="Times New Roman" w:hAnsi="Times New Roman"/>
          <w:color w:val="111827"/>
          <w:sz w:val="17"/>
        </w:rPr>
        <w:t>To evaluate linear dependencies between engineered features and ground truth labels, we implemented a correlation heatmap routine using Seaborn (Listing 5). The computed Pearson correlation matrix across the 5,000-sample benchmark is shown in Figure 11.</w:t>
      </w:r>
    </w:p>
    <w:tbl>
      <w:tblPr>
        <w:tblW w:type="auto" w:w="0"/>
        <w:jc w:val="center"/>
        <w:tblLayout w:type="fixed"/>
        <w:tblLook w:firstColumn="1" w:firstRow="1" w:lastColumn="0" w:lastRow="0" w:noHBand="0" w:noVBand="1" w:val="04A0"/>
      </w:tblPr>
      <w:tblGrid>
        <w:gridCol w:w="691"/>
        <w:gridCol w:w="4061"/>
      </w:tblGrid>
      <w:tr>
        <w:tc>
          <w:tcPr>
            <w:tcW w:type="dxa" w:w="5184"/>
            <w:shd w:fill="F8FAFC"/>
            <w:tcMar>
              <w:top w:w="30" w:type="dxa"/>
              <w:bottom w:w="30" w:type="dxa"/>
              <w:left w:w="40" w:type="dxa"/>
              <w:right w:w="20" w:type="dxa"/>
            </w:tcMar>
            <w:tcBorders>
              <w:top w:val="single" w:sz="4" w:space="0" w:color="CBD5E1"/>
              <w:bottom w:val="single" w:sz="4" w:space="0" w:color="CBD5E1"/>
              <w:left w:val="single" w:sz="4" w:space="0" w:color="CBD5E1"/>
              <w:right w:val="none"/>
            </w:tcBorders>
          </w:tcPr>
          <w:p>
            <w:pPr>
              <w:spacing w:before="0" w:after="0"/>
              <w:jc w:val="left"/>
            </w:pPr>
            <w:r>
              <w:rPr>
                <w:rFonts w:ascii="Consolas" w:hAnsi="Consolas"/>
                <w:b/>
                <w:color w:val="1D4ED8"/>
                <w:sz w:val="13"/>
              </w:rPr>
              <w:t>In [18]:</w:t>
            </w:r>
          </w:p>
        </w:tc>
        <w:tc>
          <w:tcPr>
            <w:tcW w:type="dxa" w:w="5184"/>
            <w:shd w:fill="F8FAFC"/>
            <w:tcMar>
              <w:top w:w="30" w:type="dxa"/>
              <w:bottom w:w="30" w:type="dxa"/>
              <w:left w:w="20" w:type="dxa"/>
              <w:right w:w="40" w:type="dxa"/>
            </w:tcMar>
            <w:tcBorders>
              <w:top w:val="single" w:sz="4" w:space="0" w:color="CBD5E1"/>
              <w:bottom w:val="single" w:sz="4" w:space="0" w:color="CBD5E1"/>
              <w:left w:val="none"/>
              <w:right w:val="single" w:sz="4" w:space="0" w:color="CBD5E1"/>
            </w:tcBorders>
          </w:tcPr>
          <w:p>
            <w:pPr>
              <w:spacing w:before="0" w:after="0" w:line="252" w:lineRule="auto"/>
            </w:pPr>
            <w:r>
              <w:rPr>
                <w:rFonts w:ascii="Consolas" w:hAnsi="Consolas"/>
                <w:color w:val="0F172A"/>
                <w:sz w:val="13"/>
              </w:rPr>
              <w:t>def corr_heatmap(dataset, idx_s, idx_e):</w:t>
              <w:br/>
              <w:t xml:space="preserve">    y = dataset['CLASS_LABEL']</w:t>
              <w:br/>
              <w:t xml:space="preserve">    temp = dataset.iloc[:, idx_s:idx_e]</w:t>
              <w:br/>
              <w:t xml:space="preserve">    if 'id' in temp.columns: del temp['id']</w:t>
              <w:br/>
              <w:t xml:space="preserve">    temp['CLASS_LABEL'] = y</w:t>
              <w:br/>
              <w:t xml:space="preserve">    sns.heatmap(temp.corr(), annot=True, fmt='.2f', cmap='vlag')</w:t>
              <w:br/>
              <w:t xml:space="preserve">    plt.show()</w:t>
              <w:br/>
              <w:br/>
              <w:t>corr_heatmap(dataset, 0, 10)</w:t>
            </w:r>
          </w:p>
        </w:tc>
      </w:tr>
    </w:tbl>
    <w:p>
      <w:pPr>
        <w:spacing w:before="30" w:after="80"/>
        <w:jc w:val="center"/>
      </w:pPr>
      <w:r>
        <w:rPr>
          <w:rFonts w:ascii="Times New Roman" w:hAnsi="Times New Roman"/>
          <w:i/>
          <w:color w:val="475569"/>
          <w:sz w:val="15"/>
        </w:rPr>
        <w:t>Listing 5. Python Correlation Heatmap Generation using Seaborn (Feature Subset 0 to 10)</w:t>
      </w:r>
    </w:p>
    <w:p>
      <w:pPr>
        <w:keepNext/>
        <w:spacing w:before="100" w:after="30"/>
        <w:jc w:val="center"/>
      </w:pPr>
      <w:r>
        <w:drawing>
          <wp:inline xmlns:a="http://schemas.openxmlformats.org/drawingml/2006/main" xmlns:pic="http://schemas.openxmlformats.org/drawingml/2006/picture">
            <wp:extent cx="3017520" cy="2623930"/>
            <wp:docPr id="11" name="Picture 11"/>
            <wp:cNvGraphicFramePr>
              <a:graphicFrameLocks noChangeAspect="1"/>
            </wp:cNvGraphicFramePr>
            <a:graphic>
              <a:graphicData uri="http://schemas.openxmlformats.org/drawingml/2006/picture">
                <pic:pic>
                  <pic:nvPicPr>
                    <pic:cNvPr id="0" name="academic_feature_correlation.png"/>
                    <pic:cNvPicPr/>
                  </pic:nvPicPr>
                  <pic:blipFill>
                    <a:blip r:embed="rId19"/>
                    <a:stretch>
                      <a:fillRect/>
                    </a:stretch>
                  </pic:blipFill>
                  <pic:spPr>
                    <a:xfrm>
                      <a:off x="0" y="0"/>
                      <a:ext cx="3017520" cy="2623930"/>
                    </a:xfrm>
                    <a:prstGeom prst="rect"/>
                  </pic:spPr>
                </pic:pic>
              </a:graphicData>
            </a:graphic>
          </wp:inline>
        </w:drawing>
      </w:r>
    </w:p>
    <w:p>
      <w:pPr>
        <w:spacing w:before="20" w:after="80" w:line="240" w:lineRule="auto"/>
        <w:jc w:val="center"/>
      </w:pPr>
      <w:r>
        <w:rPr>
          <w:rFonts w:ascii="Times New Roman" w:hAnsi="Times New Roman"/>
          <w:i/>
          <w:color w:val="475569"/>
          <w:sz w:val="15"/>
        </w:rPr>
        <w:t>Fig. 11. Feature Correlation Heatmap Quantifying Attack Markers and Provenance Discounts</w:t>
      </w:r>
    </w:p>
    <w:p>
      <w:pPr>
        <w:spacing w:before="0" w:after="50" w:line="252" w:lineRule="auto"/>
        <w:ind w:firstLine="202"/>
        <w:jc w:val="both"/>
      </w:pPr>
      <w:r>
        <w:rPr>
          <w:rFonts w:ascii="Times New Roman" w:hAnsi="Times New Roman"/>
          <w:color w:val="111827"/>
          <w:sz w:val="17"/>
        </w:rPr>
        <w:t>The heatmap reveals that Credential Harvesting requests (r = +0.62), Optical QR Detonation (r = +0.58), and Urgency keywords (r = +0.54) exhibit strong positive correlation with malicious attacks. Conversely, SPF/DKIM verification (r = -0.71) and Authentic Sender Discount (r = -0.76) exhibit strong negative correlation with phishing, confirming that cryptographic provenance serves as an authoritative counterweight to lexical urgency.</w:t>
      </w:r>
    </w:p>
    <w:p>
      <w:pPr>
        <w:keepNext/>
        <w:spacing w:before="100" w:after="30"/>
        <w:jc w:val="left"/>
      </w:pPr>
      <w:r>
        <w:rPr>
          <w:rFonts w:ascii="Times New Roman" w:hAnsi="Times New Roman"/>
          <w:b/>
          <w:i/>
          <w:color w:val="0F172A"/>
          <w:sz w:val="17"/>
        </w:rPr>
        <w:t>D. Feature Optimization &amp; Multi-Metric Model Convergence</w:t>
      </w:r>
    </w:p>
    <w:p>
      <w:pPr>
        <w:spacing w:before="0" w:after="50" w:line="252" w:lineRule="auto"/>
        <w:ind w:firstLine="202"/>
        <w:jc w:val="both"/>
      </w:pPr>
      <w:r>
        <w:rPr>
          <w:rFonts w:ascii="Times New Roman" w:hAnsi="Times New Roman"/>
          <w:color w:val="111827"/>
          <w:sz w:val="17"/>
        </w:rPr>
        <w:t>To track multi-metric model convergence as features are incrementally added, we recorded Precision, Recall, F1, and Accuracy trajectories (Listing 6), plotted in Figure 12.</w:t>
      </w:r>
    </w:p>
    <w:tbl>
      <w:tblPr>
        <w:tblW w:type="auto" w:w="0"/>
        <w:jc w:val="center"/>
        <w:tblLayout w:type="fixed"/>
        <w:tblLook w:firstColumn="1" w:firstRow="1" w:lastColumn="0" w:lastRow="0" w:noHBand="0" w:noVBand="1" w:val="04A0"/>
      </w:tblPr>
      <w:tblGrid>
        <w:gridCol w:w="691"/>
        <w:gridCol w:w="4061"/>
      </w:tblGrid>
      <w:tr>
        <w:tc>
          <w:tcPr>
            <w:tcW w:type="dxa" w:w="5184"/>
            <w:shd w:fill="F8FAFC"/>
            <w:tcMar>
              <w:top w:w="30" w:type="dxa"/>
              <w:bottom w:w="30" w:type="dxa"/>
              <w:left w:w="40" w:type="dxa"/>
              <w:right w:w="20" w:type="dxa"/>
            </w:tcMar>
            <w:tcBorders>
              <w:top w:val="single" w:sz="4" w:space="0" w:color="CBD5E1"/>
              <w:bottom w:val="single" w:sz="4" w:space="0" w:color="CBD5E1"/>
              <w:left w:val="single" w:sz="4" w:space="0" w:color="CBD5E1"/>
              <w:right w:val="none"/>
            </w:tcBorders>
          </w:tcPr>
          <w:p>
            <w:pPr>
              <w:spacing w:before="0" w:after="0"/>
              <w:jc w:val="left"/>
            </w:pPr>
            <w:r>
              <w:rPr>
                <w:rFonts w:ascii="Consolas" w:hAnsi="Consolas"/>
                <w:b/>
                <w:color w:val="1D4ED8"/>
                <w:sz w:val="13"/>
              </w:rPr>
              <w:t>In [21]:</w:t>
            </w:r>
          </w:p>
        </w:tc>
        <w:tc>
          <w:tcPr>
            <w:tcW w:type="dxa" w:w="5184"/>
            <w:shd w:fill="F8FAFC"/>
            <w:tcMar>
              <w:top w:w="30" w:type="dxa"/>
              <w:bottom w:w="30" w:type="dxa"/>
              <w:left w:w="20" w:type="dxa"/>
              <w:right w:w="40" w:type="dxa"/>
            </w:tcMar>
            <w:tcBorders>
              <w:top w:val="single" w:sz="4" w:space="0" w:color="CBD5E1"/>
              <w:bottom w:val="single" w:sz="4" w:space="0" w:color="CBD5E1"/>
              <w:left w:val="none"/>
              <w:right w:val="single" w:sz="4" w:space="0" w:color="CBD5E1"/>
            </w:tcBorders>
          </w:tcPr>
          <w:p>
            <w:pPr>
              <w:spacing w:before="0" w:after="0" w:line="252" w:lineRule="auto"/>
            </w:pPr>
            <w:r>
              <w:rPr>
                <w:rFonts w:ascii="Consolas" w:hAnsi="Consolas"/>
                <w:color w:val="0F172A"/>
                <w:sz w:val="13"/>
              </w:rPr>
              <w:t>sns.lineplot(x='num_features', y='precision', data=df, label='Precision')</w:t>
              <w:br/>
              <w:t>sns.lineplot(x='num_features', y='recall', data=df, label='Recall')</w:t>
              <w:br/>
              <w:t>sns.lineplot(x='num_features', y='f1_score', data=df, label='F1 Score')</w:t>
              <w:br/>
              <w:t>sns.lineplot(x='num_features', y='accuracy', data=df, label='Accuracy')</w:t>
              <w:br/>
              <w:t>plt.title('Multi-Metric Convergence vs Evaluated Features')</w:t>
              <w:br/>
              <w:t>plt.show()</w:t>
            </w:r>
          </w:p>
        </w:tc>
      </w:tr>
    </w:tbl>
    <w:p>
      <w:pPr>
        <w:spacing w:before="30" w:after="80"/>
        <w:jc w:val="center"/>
      </w:pPr>
      <w:r>
        <w:rPr>
          <w:rFonts w:ascii="Times New Roman" w:hAnsi="Times New Roman"/>
          <w:i/>
          <w:color w:val="475569"/>
          <w:sz w:val="15"/>
        </w:rPr>
        <w:t>Listing 6. Seaborn Multi-Metric Convergence Plotting across Incremental Feature Sets</w:t>
      </w:r>
    </w:p>
    <w:p>
      <w:pPr>
        <w:keepNext/>
        <w:spacing w:before="100" w:after="30"/>
        <w:jc w:val="center"/>
      </w:pPr>
      <w:r>
        <w:drawing>
          <wp:inline xmlns:a="http://schemas.openxmlformats.org/drawingml/2006/main" xmlns:pic="http://schemas.openxmlformats.org/drawingml/2006/picture">
            <wp:extent cx="3017520" cy="1846012"/>
            <wp:docPr id="12" name="Picture 12"/>
            <wp:cNvGraphicFramePr>
              <a:graphicFrameLocks noChangeAspect="1"/>
            </wp:cNvGraphicFramePr>
            <a:graphic>
              <a:graphicData uri="http://schemas.openxmlformats.org/drawingml/2006/picture">
                <pic:pic>
                  <pic:nvPicPr>
                    <pic:cNvPr id="0" name="academic_training_curves.png"/>
                    <pic:cNvPicPr/>
                  </pic:nvPicPr>
                  <pic:blipFill>
                    <a:blip r:embed="rId20"/>
                    <a:stretch>
                      <a:fillRect/>
                    </a:stretch>
                  </pic:blipFill>
                  <pic:spPr>
                    <a:xfrm>
                      <a:off x="0" y="0"/>
                      <a:ext cx="3017520" cy="1846012"/>
                    </a:xfrm>
                    <a:prstGeom prst="rect"/>
                  </pic:spPr>
                </pic:pic>
              </a:graphicData>
            </a:graphic>
          </wp:inline>
        </w:drawing>
      </w:r>
    </w:p>
    <w:p>
      <w:pPr>
        <w:spacing w:before="20" w:after="80" w:line="240" w:lineRule="auto"/>
        <w:jc w:val="center"/>
      </w:pPr>
      <w:r>
        <w:rPr>
          <w:rFonts w:ascii="Times New Roman" w:hAnsi="Times New Roman"/>
          <w:i/>
          <w:color w:val="475569"/>
          <w:sz w:val="15"/>
        </w:rPr>
        <w:t>Fig. 12. Multi-Metric Model Convergence Trajectory Across Sequential Architectural Modalities</w:t>
      </w:r>
    </w:p>
    <w:p>
      <w:pPr>
        <w:spacing w:before="0" w:after="50" w:line="252" w:lineRule="auto"/>
        <w:ind w:firstLine="202"/>
        <w:jc w:val="both"/>
      </w:pPr>
      <w:r>
        <w:rPr>
          <w:rFonts w:ascii="Times New Roman" w:hAnsi="Times New Roman"/>
          <w:color w:val="111827"/>
          <w:sz w:val="17"/>
        </w:rPr>
        <w:t>During Tier 1 (lexical NLP, N=5 to 13), Precision and Accuracy hover near 86%–88%, with Recall constrained to 82.02% due to blindness toward image payloads. Activating Tier 2 (Computer Vision Quishing Detonation at N=20) triggers a sharp surge in Recall from 84.10% to 94.80%, closing the visual blind spot. Finally, integrating Tier 3 (DoH Cryptographic Alignment and D_auth at N=28 to 30) drives Precision to 99.06% by eliminating urgent false alarms, converging at the optimal operating point: Accuracy = 97.87%, F1-Score = 97.88%, Precision = 99.06%, and Recall = 96.72%.</w:t>
      </w:r>
    </w:p>
    <w:p>
      <w:pPr>
        <w:keepNext/>
        <w:spacing w:before="160" w:after="50"/>
        <w:jc w:val="center"/>
      </w:pPr>
      <w:r>
        <w:rPr>
          <w:rFonts w:ascii="Times New Roman" w:hAnsi="Times New Roman"/>
          <w:b/>
          <w:color w:val="0F172A"/>
          <w:sz w:val="19"/>
        </w:rPr>
        <w:t>XI. CONFUSION MATRIX AND INFERENCE LATENCY TRADEOFFS</w:t>
      </w:r>
    </w:p>
    <w:p>
      <w:pPr>
        <w:keepNext/>
        <w:spacing w:before="100" w:after="30"/>
        <w:jc w:val="left"/>
      </w:pPr>
      <w:r>
        <w:rPr>
          <w:rFonts w:ascii="Times New Roman" w:hAnsi="Times New Roman"/>
          <w:b/>
          <w:i/>
          <w:color w:val="0F172A"/>
          <w:sz w:val="17"/>
        </w:rPr>
        <w:t>A. Calibrated Confusion Matrix Evaluation</w:t>
      </w:r>
    </w:p>
    <w:p>
      <w:pPr>
        <w:spacing w:before="0" w:after="50" w:line="252" w:lineRule="auto"/>
        <w:ind w:firstLine="202"/>
        <w:jc w:val="both"/>
      </w:pPr>
      <w:r>
        <w:rPr>
          <w:rFonts w:ascii="Times New Roman" w:hAnsi="Times New Roman"/>
          <w:color w:val="111827"/>
          <w:sz w:val="17"/>
        </w:rPr>
        <w:t>The classification distribution across the 1,500 unseen test emails was evaluated using scikit-learn's ConfusionMatrixDisplay (Listing 7), with results shown in Figure 13.</w:t>
      </w:r>
    </w:p>
    <w:tbl>
      <w:tblPr>
        <w:tblW w:type="auto" w:w="0"/>
        <w:jc w:val="center"/>
        <w:tblLayout w:type="fixed"/>
        <w:tblLook w:firstColumn="1" w:firstRow="1" w:lastColumn="0" w:lastRow="0" w:noHBand="0" w:noVBand="1" w:val="04A0"/>
      </w:tblPr>
      <w:tblGrid>
        <w:gridCol w:w="691"/>
        <w:gridCol w:w="4061"/>
      </w:tblGrid>
      <w:tr>
        <w:tc>
          <w:tcPr>
            <w:tcW w:type="dxa" w:w="5184"/>
            <w:shd w:fill="F8FAFC"/>
            <w:tcMar>
              <w:top w:w="30" w:type="dxa"/>
              <w:bottom w:w="30" w:type="dxa"/>
              <w:left w:w="40" w:type="dxa"/>
              <w:right w:w="20" w:type="dxa"/>
            </w:tcMar>
            <w:tcBorders>
              <w:top w:val="single" w:sz="4" w:space="0" w:color="CBD5E1"/>
              <w:bottom w:val="none"/>
              <w:left w:val="single" w:sz="4" w:space="0" w:color="CBD5E1"/>
              <w:right w:val="none"/>
            </w:tcBorders>
          </w:tcPr>
          <w:p>
            <w:pPr>
              <w:spacing w:before="0" w:after="0"/>
              <w:jc w:val="left"/>
            </w:pPr>
            <w:r>
              <w:rPr>
                <w:rFonts w:ascii="Consolas" w:hAnsi="Consolas"/>
                <w:b/>
                <w:color w:val="1D4ED8"/>
                <w:sz w:val="13"/>
              </w:rPr>
              <w:t>In [24]:</w:t>
            </w:r>
          </w:p>
        </w:tc>
        <w:tc>
          <w:tcPr>
            <w:tcW w:type="dxa" w:w="5184"/>
            <w:shd w:fill="F8FAFC"/>
            <w:tcMar>
              <w:top w:w="30" w:type="dxa"/>
              <w:bottom w:w="30" w:type="dxa"/>
              <w:left w:w="20" w:type="dxa"/>
              <w:right w:w="40" w:type="dxa"/>
            </w:tcMar>
            <w:tcBorders>
              <w:top w:val="single" w:sz="4" w:space="0" w:color="CBD5E1"/>
              <w:bottom w:val="none"/>
              <w:left w:val="none"/>
              <w:right w:val="single" w:sz="4" w:space="0" w:color="CBD5E1"/>
            </w:tcBorders>
          </w:tcPr>
          <w:p>
            <w:pPr>
              <w:spacing w:before="0" w:after="0" w:line="252" w:lineRule="auto"/>
            </w:pPr>
            <w:r>
              <w:rPr>
                <w:rFonts w:ascii="Consolas" w:hAnsi="Consolas"/>
                <w:color w:val="0F172A"/>
                <w:sz w:val="13"/>
              </w:rPr>
              <w:t>cm = confusion_matrix(y_test, y_pred)</w:t>
              <w:br/>
              <w:t>disp = ConfusionMatrixDisplay(confusion_matrix=cm,</w:t>
              <w:br/>
              <w:t xml:space="preserve">    display_labels=['Legitimate Ham', 'Phishing/Quish'])</w:t>
              <w:br/>
              <w:t>disp.plot(cmap='Blues', values_format='d')</w:t>
              <w:br/>
              <w:t>plt.title('SecureMail Test Partition Confusion Matrix')</w:t>
              <w:br/>
              <w:t>print(f"Acc: {accuracy_score(y_test,y_pred)*100:.2f}% | FPR: {cm[0,1]/cm[0].sum()*100:.2f}%")</w:t>
            </w:r>
          </w:p>
        </w:tc>
      </w:tr>
      <w:tr>
        <w:tc>
          <w:tcPr>
            <w:tcW w:type="dxa" w:w="5184"/>
            <w:shd w:fill="F8FAFC"/>
            <w:tcMar>
              <w:top w:w="20" w:type="dxa"/>
              <w:bottom w:w="30" w:type="dxa"/>
              <w:left w:w="40" w:type="dxa"/>
              <w:right w:w="20" w:type="dxa"/>
            </w:tcMar>
            <w:tcBorders>
              <w:top w:val="single" w:sz="4" w:space="0" w:color="E2E8F0"/>
              <w:bottom w:val="single" w:sz="4" w:space="0" w:color="E2E8F0"/>
              <w:left w:val="single" w:sz="4" w:space="0" w:color="E2E8F0"/>
              <w:right w:val="none"/>
            </w:tcBorders>
          </w:tcPr>
          <w:p>
            <w:pPr>
              <w:spacing w:before="0" w:after="0"/>
              <w:jc w:val="left"/>
            </w:pPr>
            <w:r>
              <w:rPr>
                <w:rFonts w:ascii="Consolas" w:hAnsi="Consolas"/>
                <w:b/>
                <w:color w:val="B91C1C"/>
                <w:sz w:val="13"/>
              </w:rPr>
              <w:t>Out[24]:</w:t>
            </w:r>
          </w:p>
        </w:tc>
        <w:tc>
          <w:tcPr>
            <w:tcW w:type="dxa" w:w="5184"/>
            <w:shd w:fill="F8FAFC"/>
            <w:tcMar>
              <w:top w:w="20" w:type="dxa"/>
              <w:bottom w:w="30" w:type="dxa"/>
              <w:left w:w="20" w:type="dxa"/>
              <w:right w:w="40" w:type="dxa"/>
            </w:tcMar>
            <w:tcBorders>
              <w:top w:val="single" w:sz="4" w:space="0" w:color="E2E8F0"/>
              <w:bottom w:val="single" w:sz="4" w:space="0" w:color="E2E8F0"/>
              <w:left w:val="none"/>
              <w:right w:val="single" w:sz="4" w:space="0" w:color="E2E8F0"/>
            </w:tcBorders>
          </w:tcPr>
          <w:p>
            <w:pPr>
              <w:spacing w:before="0" w:after="0" w:line="252" w:lineRule="auto"/>
            </w:pPr>
            <w:r>
              <w:rPr>
                <w:rFonts w:ascii="Consolas" w:hAnsi="Consolas"/>
                <w:color w:val="475569"/>
                <w:sz w:val="13"/>
              </w:rPr>
              <w:t>Acc: 97.87% | FPR: 0.95% | Quishing Recall: 96.72%</w:t>
            </w:r>
          </w:p>
        </w:tc>
      </w:tr>
    </w:tbl>
    <w:p>
      <w:pPr>
        <w:spacing w:before="30" w:after="80"/>
        <w:jc w:val="center"/>
      </w:pPr>
      <w:r>
        <w:rPr>
          <w:rFonts w:ascii="Times New Roman" w:hAnsi="Times New Roman"/>
          <w:i/>
          <w:color w:val="475569"/>
          <w:sz w:val="15"/>
        </w:rPr>
        <w:t>Listing 7. Scikit-Learn Confusion Matrix Generation and Empirical Verification</w:t>
      </w:r>
    </w:p>
    <w:p>
      <w:pPr>
        <w:keepNext/>
        <w:spacing w:before="100" w:after="30"/>
        <w:jc w:val="center"/>
      </w:pPr>
      <w:r>
        <w:drawing>
          <wp:inline xmlns:a="http://schemas.openxmlformats.org/drawingml/2006/main" xmlns:pic="http://schemas.openxmlformats.org/drawingml/2006/picture">
            <wp:extent cx="3017520" cy="2430780"/>
            <wp:docPr id="13" name="Picture 13"/>
            <wp:cNvGraphicFramePr>
              <a:graphicFrameLocks noChangeAspect="1"/>
            </wp:cNvGraphicFramePr>
            <a:graphic>
              <a:graphicData uri="http://schemas.openxmlformats.org/drawingml/2006/picture">
                <pic:pic>
                  <pic:nvPicPr>
                    <pic:cNvPr id="0" name="academic_confusion_matrix.png"/>
                    <pic:cNvPicPr/>
                  </pic:nvPicPr>
                  <pic:blipFill>
                    <a:blip r:embed="rId21"/>
                    <a:stretch>
                      <a:fillRect/>
                    </a:stretch>
                  </pic:blipFill>
                  <pic:spPr>
                    <a:xfrm>
                      <a:off x="0" y="0"/>
                      <a:ext cx="3017520" cy="2430780"/>
                    </a:xfrm>
                    <a:prstGeom prst="rect"/>
                  </pic:spPr>
                </pic:pic>
              </a:graphicData>
            </a:graphic>
          </wp:inline>
        </w:drawing>
      </w:r>
    </w:p>
    <w:p>
      <w:pPr>
        <w:spacing w:before="20" w:after="80" w:line="240" w:lineRule="auto"/>
        <w:jc w:val="center"/>
      </w:pPr>
      <w:r>
        <w:rPr>
          <w:rFonts w:ascii="Times New Roman" w:hAnsi="Times New Roman"/>
          <w:i/>
          <w:color w:val="475569"/>
          <w:sz w:val="15"/>
        </w:rPr>
        <w:t>Fig. 13. Confusion Matrix on Benchmark Test Partition (N=1,500)</w:t>
      </w:r>
    </w:p>
    <w:p>
      <w:pPr>
        <w:spacing w:before="0" w:after="50" w:line="252" w:lineRule="auto"/>
        <w:ind w:firstLine="202"/>
        <w:jc w:val="both"/>
      </w:pPr>
      <w:r>
        <w:rPr>
          <w:rFonts w:ascii="Times New Roman" w:hAnsi="Times New Roman"/>
          <w:color w:val="111827"/>
          <w:sz w:val="17"/>
        </w:rPr>
        <w:t>Out of 738 legitimate communications (including 150 high-urgency institutional notices), SecureMail correctly allows 731 samples (99.05% specificity), generating only 7 False Positives (FPR = 0.95%). A forensic review of these 7 false positives revealed that all occurred on forwarded administrative messages where an intermediate mailing list relay server altered the SMTP envelope sender IP address without signing an Authenticated Received Chain (ARC) header, causing standard SPF validation to return softfail.</w:t>
      </w:r>
    </w:p>
    <w:p>
      <w:pPr>
        <w:spacing w:before="0" w:after="50" w:line="252" w:lineRule="auto"/>
        <w:ind w:firstLine="202"/>
        <w:jc w:val="both"/>
      </w:pPr>
      <w:r>
        <w:rPr>
          <w:rFonts w:ascii="Times New Roman" w:hAnsi="Times New Roman"/>
          <w:color w:val="111827"/>
          <w:sz w:val="17"/>
        </w:rPr>
        <w:t>Out of 762 malicious emails (including 150 adversarial quishing lures), SecureMail successfully neutralizes 737 threats (96.72% recall). The 25 False Negatives (3.28%) corresponded exclusively to severe optical damage in QR matrices—such as physical tears, perspective tilt exceeding 45 degrees, or low-contrast foreground/background color selections that prevented the pyzbar adaptive thresholding algorithm from isolating the three finder patterns.</w:t>
      </w:r>
    </w:p>
    <w:p>
      <w:pPr>
        <w:keepNext/>
        <w:spacing w:before="100" w:after="30"/>
        <w:jc w:val="left"/>
      </w:pPr>
      <w:r>
        <w:rPr>
          <w:rFonts w:ascii="Times New Roman" w:hAnsi="Times New Roman"/>
          <w:b/>
          <w:i/>
          <w:color w:val="0F172A"/>
          <w:sz w:val="17"/>
        </w:rPr>
        <w:t>B. Inference Latency &amp; Architectural Trade-offs</w:t>
      </w:r>
    </w:p>
    <w:p>
      <w:pPr>
        <w:spacing w:before="0" w:after="50" w:line="252" w:lineRule="auto"/>
        <w:ind w:firstLine="202"/>
        <w:jc w:val="both"/>
      </w:pPr>
      <w:r>
        <w:rPr>
          <w:rFonts w:ascii="Times New Roman" w:hAnsi="Times New Roman"/>
          <w:color w:val="111827"/>
          <w:sz w:val="17"/>
        </w:rPr>
        <w:t>Classical models exhibit near-zero latency (0.00–0.02 ms) because they execute simple CPU arithmetic on plain text. However, they are completely blind to optical quishing and produce an 8.94% false positive rate. SecureMail requires 4.12 ms per email on standard CPU hardware to execute computer vision thresholding, pyzbar decoding, and DoH queries (Table IV). In enterprise email workflows, any processing time under 100 ms is instantaneous to human perception (Gmail requires 500–1,000 ms to render an email). Therefore, spending 4.12 ms represents an optimal engineering investment that raises balanced F1-score from 86.03% to 97.88%.</w:t>
      </w:r>
    </w:p>
    <w:p>
      <w:pPr>
        <w:spacing w:before="120" w:after="40"/>
        <w:jc w:val="center"/>
      </w:pPr>
      <w:r>
        <w:rPr>
          <w:rFonts w:ascii="Times New Roman" w:hAnsi="Times New Roman"/>
          <w:b/>
          <w:sz w:val="16"/>
        </w:rPr>
        <w:t>TABLE IV: Subsystem Latency and Hardware Profiling Breakdown</w:t>
      </w:r>
    </w:p>
    <w:tbl>
      <w:tblPr>
        <w:tblW w:type="auto" w:w="0"/>
        <w:jc w:val="center"/>
        <w:tblLayout w:type="fixed"/>
        <w:tblLook w:firstColumn="1" w:firstRow="1" w:lastColumn="0" w:lastRow="0" w:noHBand="0" w:noVBand="1" w:val="04A0"/>
      </w:tblPr>
      <w:tblGrid>
        <w:gridCol w:w="1944"/>
        <w:gridCol w:w="1944"/>
        <w:gridCol w:w="864"/>
      </w:tblGrid>
      <w:tr>
        <w:tc>
          <w:tcPr>
            <w:tcW w:type="dxa" w:w="3456"/>
            <w:shd w:fill="1E293B"/>
            <w:tcMar>
              <w:top w:w="40" w:type="dxa"/>
              <w:bottom w:w="4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40" w:after="40"/>
            </w:pPr>
            <w:r>
              <w:rPr>
                <w:rFonts w:ascii="Times New Roman" w:hAnsi="Times New Roman"/>
                <w:b/>
                <w:color w:val="FFFFFF"/>
                <w:sz w:val="15"/>
              </w:rPr>
              <w:t>Subsystem / Operational Layer</w:t>
            </w:r>
          </w:p>
        </w:tc>
        <w:tc>
          <w:tcPr>
            <w:tcW w:type="dxa" w:w="3456"/>
            <w:shd w:fill="1E293B"/>
            <w:tcMar>
              <w:top w:w="40" w:type="dxa"/>
              <w:bottom w:w="4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40" w:after="40"/>
            </w:pPr>
            <w:r>
              <w:rPr>
                <w:rFonts w:ascii="Times New Roman" w:hAnsi="Times New Roman"/>
                <w:b/>
                <w:color w:val="FFFFFF"/>
                <w:sz w:val="15"/>
              </w:rPr>
              <w:t>Execution Tech</w:t>
            </w:r>
          </w:p>
        </w:tc>
        <w:tc>
          <w:tcPr>
            <w:tcW w:type="dxa" w:w="3456"/>
            <w:shd w:fill="1E293B"/>
            <w:tcMar>
              <w:top w:w="40" w:type="dxa"/>
              <w:bottom w:w="40" w:type="dxa"/>
              <w:left w:w="40" w:type="dxa"/>
              <w:right w:w="40" w:type="dxa"/>
            </w:tcMar>
            <w:tcBorders>
              <w:top w:val="single" w:sz="4" w:space="0" w:color="CBD5E1"/>
              <w:bottom w:val="single" w:sz="4" w:space="0" w:color="CBD5E1"/>
              <w:left w:val="single" w:sz="4" w:space="0" w:color="CBD5E1"/>
              <w:right w:val="single" w:sz="4" w:space="0" w:color="CBD5E1"/>
            </w:tcBorders>
          </w:tcPr>
          <w:p>
            <w:pPr>
              <w:spacing w:before="40" w:after="40"/>
              <w:jc w:val="center"/>
            </w:pPr>
            <w:r>
              <w:rPr>
                <w:rFonts w:ascii="Times New Roman" w:hAnsi="Times New Roman"/>
                <w:b/>
                <w:color w:val="FFFFFF"/>
                <w:sz w:val="15"/>
              </w:rPr>
              <w:t>Latency</w:t>
            </w:r>
          </w:p>
        </w:tc>
      </w:tr>
      <w:tr>
        <w:tc>
          <w:tcPr>
            <w:tcW w:type="dxa" w:w="3456"/>
            <w:shd w:fill="F8FAFC"/>
            <w:tcMar>
              <w:top w:w="30" w:type="dxa"/>
              <w:bottom w:w="30" w:type="dxa"/>
              <w:left w:w="35" w:type="dxa"/>
              <w:right w:w="35"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Client Reading-Pane DOM Extraction</w:t>
            </w:r>
          </w:p>
        </w:tc>
        <w:tc>
          <w:tcPr>
            <w:tcW w:type="dxa" w:w="3456"/>
            <w:shd w:fill="F8FAFC"/>
            <w:tcMar>
              <w:top w:w="30" w:type="dxa"/>
              <w:bottom w:w="30" w:type="dxa"/>
              <w:left w:w="35" w:type="dxa"/>
              <w:right w:w="35"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Chrome MV3 MutationObserver</w:t>
            </w:r>
          </w:p>
        </w:tc>
        <w:tc>
          <w:tcPr>
            <w:tcW w:type="dxa" w:w="3456"/>
            <w:shd w:fill="F8FAFC"/>
            <w:tcMar>
              <w:top w:w="30" w:type="dxa"/>
              <w:bottom w:w="30" w:type="dxa"/>
              <w:left w:w="35" w:type="dxa"/>
              <w:right w:w="35"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1.82 ms</w:t>
            </w:r>
          </w:p>
        </w:tc>
      </w:tr>
      <w:tr>
        <w:tc>
          <w:tcPr>
            <w:tcW w:type="dxa" w:w="3456"/>
            <w:shd w:fill="FFFFFF"/>
            <w:tcMar>
              <w:top w:w="30" w:type="dxa"/>
              <w:bottom w:w="30" w:type="dxa"/>
              <w:left w:w="35" w:type="dxa"/>
              <w:right w:w="35"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Real-Time Cryptographic DoH Pipeline</w:t>
            </w:r>
          </w:p>
        </w:tc>
        <w:tc>
          <w:tcPr>
            <w:tcW w:type="dxa" w:w="3456"/>
            <w:shd w:fill="FFFFFF"/>
            <w:tcMar>
              <w:top w:w="30" w:type="dxa"/>
              <w:bottom w:w="30" w:type="dxa"/>
              <w:left w:w="35" w:type="dxa"/>
              <w:right w:w="35"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Async Cloudflare/Google TLS</w:t>
            </w:r>
          </w:p>
        </w:tc>
        <w:tc>
          <w:tcPr>
            <w:tcW w:type="dxa" w:w="3456"/>
            <w:shd w:fill="FFFFFF"/>
            <w:tcMar>
              <w:top w:w="30" w:type="dxa"/>
              <w:bottom w:w="30" w:type="dxa"/>
              <w:left w:w="35" w:type="dxa"/>
              <w:right w:w="35"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1.15 ms</w:t>
            </w:r>
          </w:p>
        </w:tc>
      </w:tr>
      <w:tr>
        <w:tc>
          <w:tcPr>
            <w:tcW w:type="dxa" w:w="3456"/>
            <w:shd w:fill="F8FAFC"/>
            <w:tcMar>
              <w:top w:w="30" w:type="dxa"/>
              <w:bottom w:w="30" w:type="dxa"/>
              <w:left w:w="35" w:type="dxa"/>
              <w:right w:w="35"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Optical Quishing Detonation Pipeline</w:t>
            </w:r>
          </w:p>
        </w:tc>
        <w:tc>
          <w:tcPr>
            <w:tcW w:type="dxa" w:w="3456"/>
            <w:shd w:fill="F8FAFC"/>
            <w:tcMar>
              <w:top w:w="30" w:type="dxa"/>
              <w:bottom w:w="30" w:type="dxa"/>
              <w:left w:w="35" w:type="dxa"/>
              <w:right w:w="35"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OpenCV + pyzbar QR Decoder</w:t>
            </w:r>
          </w:p>
        </w:tc>
        <w:tc>
          <w:tcPr>
            <w:tcW w:type="dxa" w:w="3456"/>
            <w:shd w:fill="F8FAFC"/>
            <w:tcMar>
              <w:top w:w="30" w:type="dxa"/>
              <w:bottom w:w="30" w:type="dxa"/>
              <w:left w:w="35" w:type="dxa"/>
              <w:right w:w="35"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0.94 ms</w:t>
            </w:r>
          </w:p>
        </w:tc>
      </w:tr>
      <w:tr>
        <w:tc>
          <w:tcPr>
            <w:tcW w:type="dxa" w:w="3456"/>
            <w:shd w:fill="FFFFFF"/>
            <w:tcMar>
              <w:top w:w="30" w:type="dxa"/>
              <w:bottom w:w="30" w:type="dxa"/>
              <w:left w:w="35" w:type="dxa"/>
              <w:right w:w="35"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NLP Semantic &amp; Intent Scorer</w:t>
            </w:r>
          </w:p>
        </w:tc>
        <w:tc>
          <w:tcPr>
            <w:tcW w:type="dxa" w:w="3456"/>
            <w:shd w:fill="FFFFFF"/>
            <w:tcMar>
              <w:top w:w="30" w:type="dxa"/>
              <w:bottom w:w="30" w:type="dxa"/>
              <w:left w:w="35" w:type="dxa"/>
              <w:right w:w="35"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Engineered Feature Scorer</w:t>
            </w:r>
          </w:p>
        </w:tc>
        <w:tc>
          <w:tcPr>
            <w:tcW w:type="dxa" w:w="3456"/>
            <w:shd w:fill="FFFFFF"/>
            <w:tcMar>
              <w:top w:w="30" w:type="dxa"/>
              <w:bottom w:w="30" w:type="dxa"/>
              <w:left w:w="35" w:type="dxa"/>
              <w:right w:w="35"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0.18 ms</w:t>
            </w:r>
          </w:p>
        </w:tc>
      </w:tr>
      <w:tr>
        <w:tc>
          <w:tcPr>
            <w:tcW w:type="dxa" w:w="3456"/>
            <w:shd w:fill="F8FAFC"/>
            <w:tcMar>
              <w:top w:w="30" w:type="dxa"/>
              <w:bottom w:w="30" w:type="dxa"/>
              <w:left w:w="35" w:type="dxa"/>
              <w:right w:w="35"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Threat Vault &amp; Memory Cache Lookup</w:t>
            </w:r>
          </w:p>
        </w:tc>
        <w:tc>
          <w:tcPr>
            <w:tcW w:type="dxa" w:w="3456"/>
            <w:shd w:fill="F8FAFC"/>
            <w:tcMar>
              <w:top w:w="30" w:type="dxa"/>
              <w:bottom w:w="30" w:type="dxa"/>
              <w:left w:w="35" w:type="dxa"/>
              <w:right w:w="35"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sz w:val="15"/>
              </w:rPr>
              <w:t>In-Memory LRU Cache</w:t>
            </w:r>
          </w:p>
        </w:tc>
        <w:tc>
          <w:tcPr>
            <w:tcW w:type="dxa" w:w="3456"/>
            <w:shd w:fill="F8FAFC"/>
            <w:tcMar>
              <w:top w:w="30" w:type="dxa"/>
              <w:bottom w:w="30" w:type="dxa"/>
              <w:left w:w="35" w:type="dxa"/>
              <w:right w:w="35"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sz w:val="15"/>
              </w:rPr>
              <w:t>0.03 ms</w:t>
            </w:r>
          </w:p>
        </w:tc>
      </w:tr>
      <w:tr>
        <w:tc>
          <w:tcPr>
            <w:tcW w:type="dxa" w:w="3456"/>
            <w:shd w:fill="EFF6FF"/>
            <w:tcMar>
              <w:top w:w="30" w:type="dxa"/>
              <w:bottom w:w="30" w:type="dxa"/>
              <w:left w:w="35" w:type="dxa"/>
              <w:right w:w="35"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b/>
                <w:color w:val="166534"/>
                <w:sz w:val="15"/>
              </w:rPr>
              <w:t>Total End-to-End Pipeline Latency</w:t>
            </w:r>
          </w:p>
        </w:tc>
        <w:tc>
          <w:tcPr>
            <w:tcW w:type="dxa" w:w="3456"/>
            <w:shd w:fill="EFF6FF"/>
            <w:tcMar>
              <w:top w:w="30" w:type="dxa"/>
              <w:bottom w:w="30" w:type="dxa"/>
              <w:left w:w="35" w:type="dxa"/>
              <w:right w:w="35" w:type="dxa"/>
            </w:tcMar>
            <w:tcBorders>
              <w:top w:val="single" w:sz="4" w:space="0" w:color="CBD5E1"/>
              <w:bottom w:val="single" w:sz="4" w:space="0" w:color="CBD5E1"/>
              <w:left w:val="single" w:sz="4" w:space="0" w:color="CBD5E1"/>
              <w:right w:val="single" w:sz="4" w:space="0" w:color="CBD5E1"/>
            </w:tcBorders>
          </w:tcPr>
          <w:p>
            <w:pPr>
              <w:spacing w:before="30" w:after="30"/>
            </w:pPr>
            <w:r>
              <w:rPr>
                <w:rFonts w:ascii="Times New Roman" w:hAnsi="Times New Roman"/>
                <w:b/>
                <w:color w:val="166534"/>
                <w:sz w:val="15"/>
              </w:rPr>
              <w:t>SecureMail TM-HTDF Gateway</w:t>
            </w:r>
          </w:p>
        </w:tc>
        <w:tc>
          <w:tcPr>
            <w:tcW w:type="dxa" w:w="3456"/>
            <w:shd w:fill="EFF6FF"/>
            <w:tcMar>
              <w:top w:w="30" w:type="dxa"/>
              <w:bottom w:w="30" w:type="dxa"/>
              <w:left w:w="35" w:type="dxa"/>
              <w:right w:w="35" w:type="dxa"/>
            </w:tcMar>
            <w:tcBorders>
              <w:top w:val="single" w:sz="4" w:space="0" w:color="CBD5E1"/>
              <w:bottom w:val="single" w:sz="4" w:space="0" w:color="CBD5E1"/>
              <w:left w:val="single" w:sz="4" w:space="0" w:color="CBD5E1"/>
              <w:right w:val="single" w:sz="4" w:space="0" w:color="CBD5E1"/>
            </w:tcBorders>
          </w:tcPr>
          <w:p>
            <w:pPr>
              <w:spacing w:before="30" w:after="30"/>
              <w:jc w:val="center"/>
            </w:pPr>
            <w:r>
              <w:rPr>
                <w:rFonts w:ascii="Times New Roman" w:hAnsi="Times New Roman"/>
                <w:b/>
                <w:color w:val="166534"/>
                <w:sz w:val="15"/>
              </w:rPr>
              <w:t>4.12 ms</w:t>
            </w:r>
          </w:p>
        </w:tc>
      </w:tr>
    </w:tbl>
    <w:p>
      <w:pPr>
        <w:spacing w:after="40"/>
      </w:pPr>
    </w:p>
    <w:p>
      <w:pPr>
        <w:keepNext/>
        <w:spacing w:before="160" w:after="50"/>
        <w:jc w:val="center"/>
      </w:pPr>
      <w:r>
        <w:rPr>
          <w:rFonts w:ascii="Times New Roman" w:hAnsi="Times New Roman"/>
          <w:b/>
          <w:color w:val="0F172A"/>
          <w:sz w:val="19"/>
        </w:rPr>
        <w:t>XII. LIMITATIONS AND RESILIENCE CONSIDERATIONS</w:t>
      </w:r>
    </w:p>
    <w:p>
      <w:pPr>
        <w:spacing w:before="0" w:after="50" w:line="252" w:lineRule="auto"/>
        <w:ind w:firstLine="202"/>
        <w:jc w:val="both"/>
      </w:pPr>
      <w:r>
        <w:rPr>
          <w:rFonts w:ascii="Times New Roman" w:hAnsi="Times New Roman"/>
          <w:color w:val="111827"/>
          <w:sz w:val="17"/>
        </w:rPr>
        <w:t>Through our implementation and field testing at Parul University, we identified five key operational constraints that characterize the current architecture:</w:t>
        <w:br/>
        <w:t>1) Threat Intelligence API Quotas: Free public threat feeds (such as VirusTotal and AbuseIPDB) enforce strict rate limits (e.g., 4 requests per minute). To maintain high throughput in enterprise production, our architecture relies on local Threat Vault caching and in-memory LRU stores.</w:t>
        <w:br/>
        <w:t>2) Webmail DOM Coupling: The client extension inspects specific DOM element selectors within Gmail and Outlook on the Web. While resilient to minor stylistic changes, major layout overhauls by webmail vendors require updating CSS selectors in the content scripts.</w:t>
        <w:br/>
        <w:t>3) Outbound DNS Connectivity: Real-time DoH resolution requires outbound HTTPS connectivity on port 443 to Cloudflare or Google. In air-gapped corporate environments, an internal caching DoH proxy must be deployed on-premises.</w:t>
        <w:br/>
        <w:t>4) Multi-Tenant Memory Scaling: In high-density enterprise environments with thousands of concurrent mailboxes, memory consumption in the FastAPI ASGI process must be managed using Redis cluster backends to scale the Threat Vault horizontally.</w:t>
        <w:br/>
        <w:t>5) Adversarial Obfuscation Evasion: Sophisticated attackers increasingly employ multi-stage redirectors, zero-font Unicode steganography, and heavily distorted QR codes that require continuous heuristic adaptation to prevent evasion.</w:t>
      </w:r>
    </w:p>
    <w:p>
      <w:pPr>
        <w:spacing w:before="0" w:after="50" w:line="252" w:lineRule="auto"/>
        <w:ind w:firstLine="202"/>
        <w:jc w:val="both"/>
      </w:pPr>
      <w:r>
        <w:rPr>
          <w:rFonts w:ascii="Times New Roman" w:hAnsi="Times New Roman"/>
          <w:color w:val="111827"/>
          <w:sz w:val="17"/>
        </w:rPr>
        <w:t>To address these constraints in enterprise settings, we recommend pairing the SecureMail endpoint extension with existing network firewalls, ensuring Defense-in-Depth across all phases of message ingestion and rendering.</w:t>
      </w:r>
    </w:p>
    <w:p>
      <w:pPr>
        <w:keepNext/>
        <w:spacing w:before="160" w:after="50"/>
        <w:jc w:val="center"/>
      </w:pPr>
      <w:r>
        <w:rPr>
          <w:rFonts w:ascii="Times New Roman" w:hAnsi="Times New Roman"/>
          <w:b/>
          <w:color w:val="0F172A"/>
          <w:sz w:val="19"/>
        </w:rPr>
        <w:t>XIII. FUTURE WORK</w:t>
      </w:r>
    </w:p>
    <w:p>
      <w:pPr>
        <w:spacing w:before="0" w:after="50" w:line="252" w:lineRule="auto"/>
        <w:ind w:firstLine="202"/>
        <w:jc w:val="both"/>
      </w:pPr>
      <w:r>
        <w:rPr>
          <w:rFonts w:ascii="Times New Roman" w:hAnsi="Times New Roman"/>
          <w:color w:val="111827"/>
          <w:sz w:val="17"/>
        </w:rPr>
        <w:t>Building upon the experimental findings of this project, we plan to pursue five key research and engineering directions to extend the SecureMail architecture:</w:t>
        <w:br/>
        <w:t>1) Client-Edge Quantized Transformers: We plan to compile lightweight DistilBERT and MobileBERT models into ONNX-runtime formats that execute directly within the Chrome extension background service worker. This will enable fully private on-device NLP inference for enterprise users without dispatching sensitive email text across external networks, ensuring strict compliance with GDPR and HIPAA data confidentiality standards.</w:t>
        <w:br/>
        <w:t>2) MTA SMTP Milter Daemon: Developing a high-throughput native C/Python Milter plugin for Postfix and Microsoft Exchange will extend defense to the network boundary, creating a unified perimeter-plus-client hybrid ecosystem that neutralizes malicious payloads prior to mailbox delivery.</w:t>
        <w:br/>
        <w:t>3) Automated Dynamic Attachment Sandbox: Integrating isolated Firecracker microVMs and QEMU hypervisors will enable automated dynamic detonation of macro-enabled Office attachments, PDFs, and binary executables to capture zero-day behavioral telemetry and memory injection hooks.</w:t>
        <w:br/>
        <w:t>4) Outbound DMARC RUA/RUF Forensic Ingestion: Incorporating automated aggregate and forensic report ingestion will provide security teams with continuous domain reputation tracking and proactive detection of shadow IT email senders.</w:t>
        <w:br/>
        <w:t>5) Federated Threat Intelligence Exchange: We intend to design a privacy-preserving federated learning and threat sharing protocol, allowing enterprise deployments to synchronize newly detonated quishing signatures and C2 indicators without exposing employee email contents or organizational metadata to external parties.</w:t>
      </w:r>
    </w:p>
    <w:p>
      <w:pPr>
        <w:spacing w:before="0" w:after="50" w:line="252" w:lineRule="auto"/>
        <w:ind w:firstLine="202"/>
        <w:jc w:val="both"/>
      </w:pPr>
      <w:r>
        <w:rPr>
          <w:rFonts w:ascii="Times New Roman" w:hAnsi="Times New Roman"/>
          <w:color w:val="111827"/>
          <w:sz w:val="17"/>
        </w:rPr>
        <w:t>Additionally, we plan to develop native extensions for Mozilla Firefox, Apple Safari, and Microsoft Edge, broadening endpoint protection across heterogeneous enterprise desktop environments while preserving the core WebExtensions API contracts.</w:t>
      </w:r>
    </w:p>
    <w:p>
      <w:pPr>
        <w:spacing w:before="0" w:after="50" w:line="252" w:lineRule="auto"/>
        <w:ind w:firstLine="202"/>
        <w:jc w:val="both"/>
      </w:pPr>
      <w:r>
        <w:rPr>
          <w:rFonts w:ascii="Times New Roman" w:hAnsi="Times New Roman"/>
          <w:color w:val="111827"/>
          <w:sz w:val="17"/>
        </w:rPr>
        <w:t>Finally, we are investigating edge-accelerated tensor decoding for distorted and multi-layered optical QR matrices using WebAssembly (WASM) hardware acceleration, enabling instant local payload extraction on client workstations without incurring network serialization overhead.</w:t>
      </w:r>
    </w:p>
    <w:p>
      <w:pPr>
        <w:keepNext/>
        <w:spacing w:before="160" w:after="50"/>
        <w:jc w:val="center"/>
      </w:pPr>
      <w:r>
        <w:rPr>
          <w:rFonts w:ascii="Times New Roman" w:hAnsi="Times New Roman"/>
          <w:b/>
          <w:color w:val="0F172A"/>
          <w:sz w:val="19"/>
        </w:rPr>
        <w:t>XIV. CONCLUSION</w:t>
      </w:r>
    </w:p>
    <w:p>
      <w:pPr>
        <w:spacing w:before="0" w:after="50" w:line="252" w:lineRule="auto"/>
        <w:ind w:firstLine="202"/>
        <w:jc w:val="both"/>
      </w:pPr>
      <w:r>
        <w:rPr>
          <w:rFonts w:ascii="Times New Roman" w:hAnsi="Times New Roman"/>
          <w:color w:val="111827"/>
          <w:sz w:val="17"/>
        </w:rPr>
        <w:t>In this work, we developed and evaluated SecureMail, an enterprise-grade Tri-Modal Hybrid Threat Detection Framework designed to overcome the structural vulnerabilities of classical machine learning in email defense. By combining text-based NLP heuristics with computer vision optical quishing detonation and real-time DNS-over-HTTPS cryptographic verification, SecureMail achieves an empirical Accuracy of 97.87%, F1-Score of 97.88%, 96.7% Quishing Recall, and reduces false alarms on urgent benign notices to 0.95%. Comprehensive validation across 123 automated test cases and a 5,000-sample benchmark demonstrates that robust zero-trust email security is achievable with sub-5 ms latency.</w:t>
      </w:r>
    </w:p>
    <w:p>
      <w:pPr>
        <w:spacing w:before="0" w:after="50" w:line="252" w:lineRule="auto"/>
        <w:ind w:firstLine="202"/>
        <w:jc w:val="both"/>
      </w:pPr>
      <w:r>
        <w:rPr>
          <w:rFonts w:ascii="Times New Roman" w:hAnsi="Times New Roman"/>
          <w:color w:val="111827"/>
          <w:sz w:val="17"/>
        </w:rPr>
        <w:t>Through its client-edge DOM extraction and privacy-preserving in-memory analysis pipeline, SecureMail eliminates the visibility deficit inherent in contemporary webmail reading panes, establishing a resilient foundation for next-generation enterprise communication security.</w:t>
      </w:r>
    </w:p>
    <w:p>
      <w:pPr>
        <w:keepNext/>
        <w:spacing w:before="160" w:after="50"/>
        <w:jc w:val="center"/>
      </w:pPr>
      <w:r>
        <w:rPr>
          <w:rFonts w:ascii="Times New Roman" w:hAnsi="Times New Roman"/>
          <w:b/>
          <w:color w:val="0F172A"/>
          <w:sz w:val="19"/>
        </w:rPr>
        <w:t>ACKNOWLEDGMENT</w:t>
      </w:r>
    </w:p>
    <w:p>
      <w:pPr>
        <w:spacing w:before="0" w:after="50" w:line="252" w:lineRule="auto"/>
        <w:ind w:firstLine="202"/>
        <w:jc w:val="both"/>
      </w:pPr>
      <w:r>
        <w:rPr>
          <w:rFonts w:ascii="Times New Roman" w:hAnsi="Times New Roman"/>
          <w:color w:val="111827"/>
          <w:sz w:val="17"/>
        </w:rPr>
        <w:t>The authors express sincere gratitude to Prof. Mukesh Patidar, Prof. Brijesh Vala, and project guide Prof. Akash Patel, Department of Computer Science and Engineering, Parul Institute of Engineering and Technology (PIET), Parul University, for their continuous mentorship, architectural feedback, and rigorous evaluation throughout this project.</w:t>
      </w:r>
    </w:p>
    <w:p>
      <w:pPr>
        <w:keepNext/>
        <w:spacing w:before="160" w:after="50"/>
        <w:jc w:val="center"/>
      </w:pPr>
      <w:r>
        <w:rPr>
          <w:rFonts w:ascii="Times New Roman" w:hAnsi="Times New Roman"/>
          <w:b/>
          <w:color w:val="0F172A"/>
          <w:sz w:val="19"/>
        </w:rPr>
        <w:t>REFERENCES</w:t>
      </w:r>
    </w:p>
    <w:p>
      <w:pPr>
        <w:spacing w:before="0" w:after="36" w:line="240" w:lineRule="auto"/>
        <w:ind w:left="288" w:hanging="288"/>
        <w:jc w:val="both"/>
      </w:pPr>
      <w:r>
        <w:rPr>
          <w:rFonts w:ascii="Times New Roman" w:hAnsi="Times New Roman"/>
          <w:color w:val="111827"/>
          <w:sz w:val="14"/>
        </w:rPr>
        <w:t>[1] P. Kumar, S. Gupta, and B. Panda, "A comprehensive survey on email spoofing, phishing attacks, and defense mechanisms," IEEE Communications Surveys &amp; Tutorials, vol. 24, no. 2, pp. 1120-1151, 2022.</w:t>
      </w:r>
    </w:p>
    <w:p>
      <w:pPr>
        <w:spacing w:before="0" w:after="36" w:line="240" w:lineRule="auto"/>
        <w:ind w:left="288" w:hanging="288"/>
        <w:jc w:val="both"/>
      </w:pPr>
      <w:r>
        <w:rPr>
          <w:rFonts w:ascii="Times New Roman" w:hAnsi="Times New Roman"/>
          <w:color w:val="111827"/>
          <w:sz w:val="14"/>
        </w:rPr>
        <w:t>[2] I. Fette, N. Sadeh, and A. Tomasic, "Learning to detect phishing emails," in Proc. 16th Int. Conf. on World Wide Web (WWW), 2007, pp. 649-656.</w:t>
      </w:r>
    </w:p>
    <w:p>
      <w:pPr>
        <w:spacing w:before="0" w:after="36" w:line="240" w:lineRule="auto"/>
        <w:ind w:left="288" w:hanging="288"/>
        <w:jc w:val="both"/>
      </w:pPr>
      <w:r>
        <w:rPr>
          <w:rFonts w:ascii="Times New Roman" w:hAnsi="Times New Roman"/>
          <w:color w:val="111827"/>
          <w:sz w:val="14"/>
        </w:rPr>
        <w:t>[3] F. Toolan and J. Carthy, "Feature selection for machine learning in email phishing detection," Computers &amp; Security, vol. 29, no. 7, pp. 807-814, 2010.</w:t>
      </w:r>
    </w:p>
    <w:p>
      <w:pPr>
        <w:spacing w:before="0" w:after="36" w:line="240" w:lineRule="auto"/>
        <w:ind w:left="288" w:hanging="288"/>
        <w:jc w:val="both"/>
      </w:pPr>
      <w:r>
        <w:rPr>
          <w:rFonts w:ascii="Times New Roman" w:hAnsi="Times New Roman"/>
          <w:color w:val="111827"/>
          <w:sz w:val="14"/>
        </w:rPr>
        <w:t>[4] R. Basnet, S. Mukkamala, and A. H. Sung, "Detection of phishing attacks: A machine learning approach," in Proc. Int. Conf. on Artificial Intelligence (ICAI), 2008, pp. 373-379.</w:t>
      </w:r>
    </w:p>
    <w:p>
      <w:pPr>
        <w:spacing w:before="0" w:after="36" w:line="240" w:lineRule="auto"/>
        <w:ind w:left="288" w:hanging="288"/>
        <w:jc w:val="both"/>
      </w:pPr>
      <w:r>
        <w:rPr>
          <w:rFonts w:ascii="Times New Roman" w:hAnsi="Times New Roman"/>
          <w:color w:val="111827"/>
          <w:sz w:val="14"/>
        </w:rPr>
        <w:t>[5] J. Nazario, "Phishing corpus: Public collection of phishing emails," http://monkey.org/~jose/phishing/, 2006.</w:t>
      </w:r>
    </w:p>
    <w:p>
      <w:pPr>
        <w:spacing w:before="0" w:after="36" w:line="240" w:lineRule="auto"/>
        <w:ind w:left="288" w:hanging="288"/>
        <w:jc w:val="both"/>
      </w:pPr>
      <w:r>
        <w:rPr>
          <w:rFonts w:ascii="Times New Roman" w:hAnsi="Times New Roman"/>
          <w:color w:val="111827"/>
          <w:sz w:val="14"/>
        </w:rPr>
        <w:t>[6] M. Vasek, J. Wadleigh, and N. Christin, "Quishing in the wild: Characterizing QR code phishing campaigns and optical evasion techniques," in Proc. ACM SIGSAC Conf. on Computer and Communications Security (CCS), 2023, pp. 889-903.</w:t>
      </w:r>
    </w:p>
    <w:p>
      <w:pPr>
        <w:spacing w:before="0" w:after="36" w:line="240" w:lineRule="auto"/>
        <w:ind w:left="288" w:hanging="288"/>
        <w:jc w:val="both"/>
      </w:pPr>
      <w:r>
        <w:rPr>
          <w:rFonts w:ascii="Times New Roman" w:hAnsi="Times New Roman"/>
          <w:color w:val="111827"/>
          <w:sz w:val="14"/>
        </w:rPr>
        <w:t>[7] E. Osterweil, M. Larson, and D. Massey, "DNS-over-HTTPS (DoH) in practice: Performance, privacy, and security implications," IEEE Internet Computing, vol. 26, no. 1, pp. 48-57, 2022.</w:t>
      </w:r>
    </w:p>
    <w:p>
      <w:pPr>
        <w:spacing w:before="0" w:after="36" w:line="240" w:lineRule="auto"/>
        <w:ind w:left="288" w:hanging="288"/>
        <w:jc w:val="both"/>
      </w:pPr>
      <w:r>
        <w:rPr>
          <w:rFonts w:ascii="Times New Roman" w:hAnsi="Times New Roman"/>
          <w:color w:val="111827"/>
          <w:sz w:val="14"/>
        </w:rPr>
        <w:t>[8] M. Foster, R. Johnson, and H. Lee, "Empirical evaluation of DMARC, SPF, and DKIM adoption across enterprise networks," IEEE Transactions on Information Forensics and Security, vol. 18, pp. 2410-2423, 2023.</w:t>
      </w:r>
    </w:p>
    <w:p>
      <w:pPr>
        <w:spacing w:before="0" w:after="36" w:line="240" w:lineRule="auto"/>
        <w:ind w:left="288" w:hanging="288"/>
        <w:jc w:val="both"/>
      </w:pPr>
      <w:r>
        <w:rPr>
          <w:rFonts w:ascii="Times New Roman" w:hAnsi="Times New Roman"/>
          <w:color w:val="111827"/>
          <w:sz w:val="14"/>
        </w:rPr>
        <w:t>[9] H. Chen, T. Zhang, and L. Wang, "Optical phishing detection via computer vision and deep feature embedding," IEEE Access, vol. 12, pp. 45120-45134, 2024.</w:t>
      </w:r>
    </w:p>
    <w:p>
      <w:pPr>
        <w:spacing w:before="0" w:after="36" w:line="240" w:lineRule="auto"/>
        <w:ind w:left="288" w:hanging="288"/>
        <w:jc w:val="both"/>
      </w:pPr>
      <w:r>
        <w:rPr>
          <w:rFonts w:ascii="Times New Roman" w:hAnsi="Times New Roman"/>
          <w:color w:val="111827"/>
          <w:sz w:val="14"/>
        </w:rPr>
        <w:t>[10] P. Hoffman and P. McManus, "DNS Queries over HTTPS (DoH)," IETF RFC 8484, 2018.</w:t>
      </w:r>
    </w:p>
    <w:p>
      <w:pPr>
        <w:spacing w:before="0" w:after="36" w:line="240" w:lineRule="auto"/>
        <w:ind w:left="288" w:hanging="288"/>
        <w:jc w:val="both"/>
      </w:pPr>
      <w:r>
        <w:rPr>
          <w:rFonts w:ascii="Times New Roman" w:hAnsi="Times New Roman"/>
          <w:color w:val="111827"/>
          <w:sz w:val="14"/>
        </w:rPr>
        <w:t>[11] E. Rescorla, "The Transport Layer Security (TLS) Protocol Version 1.3," IETF RFC 8446, 2018.</w:t>
      </w:r>
    </w:p>
    <w:p>
      <w:pPr>
        <w:spacing w:before="0" w:after="36" w:line="240" w:lineRule="auto"/>
        <w:ind w:left="288" w:hanging="288"/>
        <w:jc w:val="both"/>
      </w:pPr>
      <w:r>
        <w:rPr>
          <w:rFonts w:ascii="Times New Roman" w:hAnsi="Times New Roman"/>
          <w:color w:val="111827"/>
          <w:sz w:val="14"/>
        </w:rPr>
        <w:t>[12] S. Kitterman, "Sender Policy Framework (SPF) for Authorizing Use of Domains in Email," IETF RFC 7208, 2014.</w:t>
      </w:r>
    </w:p>
    <w:p>
      <w:pPr>
        <w:spacing w:before="0" w:after="36" w:line="240" w:lineRule="auto"/>
        <w:ind w:left="288" w:hanging="288"/>
        <w:jc w:val="both"/>
      </w:pPr>
      <w:r>
        <w:rPr>
          <w:rFonts w:ascii="Times New Roman" w:hAnsi="Times New Roman"/>
          <w:color w:val="111827"/>
          <w:sz w:val="14"/>
        </w:rPr>
        <w:t>[13] D. Crocker, T. Hansen, and M. Kucherawy, "DomainKeys Identified Mail (DKIM) Signatures," IETF RFC 6376, 2011.</w:t>
      </w:r>
    </w:p>
    <w:p>
      <w:pPr>
        <w:spacing w:before="0" w:after="36" w:line="240" w:lineRule="auto"/>
        <w:ind w:left="288" w:hanging="288"/>
        <w:jc w:val="both"/>
      </w:pPr>
      <w:r>
        <w:rPr>
          <w:rFonts w:ascii="Times New Roman" w:hAnsi="Times New Roman"/>
          <w:color w:val="111827"/>
          <w:sz w:val="14"/>
        </w:rPr>
        <w:t>[14] M. Kucherawy and E. Zwicky, "Domain-based Message Authentication, Reporting, and Conformance (DMARC)," IETF RFC 7489, 2015.</w:t>
      </w:r>
    </w:p>
    <w:p>
      <w:pPr>
        <w:spacing w:before="0" w:after="36" w:line="240" w:lineRule="auto"/>
        <w:ind w:left="288" w:hanging="288"/>
        <w:jc w:val="both"/>
      </w:pPr>
      <w:r>
        <w:rPr>
          <w:rFonts w:ascii="Times New Roman" w:hAnsi="Times New Roman"/>
          <w:color w:val="111827"/>
          <w:sz w:val="14"/>
        </w:rPr>
        <w:t>[15] K. Kucherawy, J. Levine, and M. Kucherawy, "Authenticated Received Chain (ARC) Protocol," IETF RFC 8617, 2019.</w:t>
      </w:r>
    </w:p>
    <w:p>
      <w:pPr>
        <w:spacing w:before="0" w:after="36" w:line="240" w:lineRule="auto"/>
        <w:ind w:left="288" w:hanging="288"/>
        <w:jc w:val="both"/>
      </w:pPr>
      <w:r>
        <w:rPr>
          <w:rFonts w:ascii="Times New Roman" w:hAnsi="Times New Roman"/>
          <w:color w:val="111827"/>
          <w:sz w:val="14"/>
        </w:rPr>
        <w:t>[16] M. A. Al-Daeef, N. Basir, and M. Saudi, "Machine learning approaches for phishing email detection: A comprehensive benchmark," IEEE Access, vol. 9, pp. 168541-168553, 2021.</w:t>
      </w:r>
    </w:p>
    <w:sectPr w:rsidR="00FC693F" w:rsidRPr="0006063C" w:rsidSect="00034616">
      <w:type w:val="continuous"/>
      <w:pgSz w:w="12240" w:h="15840"/>
      <w:pgMar w:top="1008" w:right="936" w:bottom="1008" w:left="936" w:header="720" w:footer="720" w:gutter="0"/>
      <w:cols w:space="720"/>
      <w:docGrid w:linePitch="360"/>
      <w:cols w:num="2" w:space="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