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4F24C9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1B3F2218" w14:textId="77777777" w:rsidR="00797EEB" w:rsidRDefault="00797EEB">
      <w:pPr>
        <w:spacing w:after="40"/>
        <w:jc w:val="center"/>
        <w:rPr>
          <w:i/>
          <w:iCs/>
          <w:color w:val="595959"/>
        </w:rPr>
      </w:pPr>
      <w:r>
        <w:rPr>
          <w:i/>
          <w:iCs/>
          <w:color w:val="595959"/>
        </w:rPr>
        <w:t>Healthcare Data Quality Analyst | SQL | Data Governance | Reporting Quality</w:t>
      </w:r>
    </w:p>
    <w:p w14:paraId="378A9813" w14:textId="109ABC86" w:rsidR="00076240" w:rsidRDefault="004F24C9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4F24C9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4F24C9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0892261A" w14:textId="77777777" w:rsidR="00797EEB" w:rsidRDefault="00797EEB">
      <w:pPr>
        <w:pBdr>
          <w:bottom w:val="single" w:sz="8" w:space="2" w:color="1F3864"/>
        </w:pBdr>
        <w:spacing w:before="140" w:after="40"/>
        <w:rPr>
          <w:color w:val="000000"/>
        </w:rPr>
      </w:pPr>
      <w:r>
        <w:rPr>
          <w:color w:val="000000"/>
        </w:rPr>
        <w:t>Healthcare Data &amp; ETL Analyst with 7+ years of experience validating, standardizing, and reconciling enterprise data across healthcare reporting environments. Deep hands-on expertise in advanced SQL, ETL validation, source-to-target testing, data quality controls, and root-cause analysis. Strong fit for roles that require data quality routines, governance support, and stakeholder-facing reporting accuracy.</w:t>
      </w:r>
    </w:p>
    <w:p w14:paraId="672AE834" w14:textId="3D3DD7F2" w:rsidR="00076240" w:rsidRDefault="004F24C9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4F24C9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4F24C9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4F24C9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4F24C9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4F24C9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4F24C9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4F24C9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4F24C9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4F24C9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381CE1" w14:textId="77777777" w:rsidR="00797EEB" w:rsidRDefault="00797EEB">
            <w:r>
              <w:t>Source-to-target testing, record counts, duplicate / null / referential / business-rule checks, automated validation design, root-cause analysis, defect triage, data quality standards</w:t>
            </w:r>
          </w:p>
          <w:p w14:paraId="488BEEA5" w14:textId="5F0B9AA2" w:rsidR="00076240" w:rsidRDefault="00076240"/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4F24C9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4F24C9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4F24C9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14D7CA2" w14:textId="77777777" w:rsidR="00797EEB" w:rsidRDefault="00797EEB">
            <w:r>
              <w:t>Power BI, Tableau, Excel (advanced – pivots, lookups, Power Query), data quality dashboards and reporting</w:t>
            </w:r>
          </w:p>
          <w:p w14:paraId="0B142EC0" w14:textId="571F27FA" w:rsidR="00076240" w:rsidRDefault="00076240"/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4F24C9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4F24C9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4F24C9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4F24C9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4F24C9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4F24C9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4F24C9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4F24C9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4F24C9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19A0CA26" w14:textId="77777777" w:rsidR="00797EEB" w:rsidRDefault="00797EEB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logic—to standardize data quality routines and improve issue prevention.</w:t>
      </w:r>
    </w:p>
    <w:p w14:paraId="6DFBD02B" w14:textId="74B33262" w:rsidR="00076240" w:rsidRDefault="004F24C9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4F24C9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3527F236" w14:textId="77777777" w:rsidR="00797EEB" w:rsidRDefault="00797EEB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dashboards, performance metrics, and downstream KPIs.</w:t>
      </w:r>
    </w:p>
    <w:p w14:paraId="18848DA2" w14:textId="4877C0B0" w:rsidR="00076240" w:rsidRDefault="004F24C9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4F24C9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4F24C9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4F24C9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4F24C9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4F24C9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4F24C9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4F24C9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4F24C9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4F24C9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4F24C9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4F24C9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4F24C9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4F24C9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4F24C9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4F24C9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4F24C9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4F24C9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4F24C9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4F24C9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4F24C9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4F24C9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4F24C9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4F24C9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27A6D"/>
    <w:rsid w:val="00076240"/>
    <w:rsid w:val="004E1D38"/>
    <w:rsid w:val="004F24C9"/>
    <w:rsid w:val="00722C31"/>
    <w:rsid w:val="00797EEB"/>
    <w:rsid w:val="008F325C"/>
    <w:rsid w:val="00B969D9"/>
    <w:rsid w:val="00BA72FA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937</Words>
  <Characters>5344</Characters>
  <Application>Microsoft Office Word</Application>
  <DocSecurity>0</DocSecurity>
  <Lines>44</Lines>
  <Paragraphs>12</Paragraphs>
  <ScaleCrop>false</ScaleCrop>
  <Company/>
  <LinksUpToDate>false</LinksUpToDate>
  <CharactersWithSpaces>6269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7</cp:revision>
  <dcterms:created xsi:type="dcterms:W3CDTF">2026-04-27T17:23:00Z</dcterms:created>
  <dcterms:modified xsi:type="dcterms:W3CDTF">2026-04-27T20:32:00Z</dcterms:modified>
</cp:coreProperties>
</file>