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A64F5F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5FE842D7" w14:textId="77777777" w:rsidR="00B53BAF" w:rsidRDefault="00B53BAF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Payer Analytics | SQL | Cost &amp; Quality Reporting</w:t>
      </w:r>
    </w:p>
    <w:p w14:paraId="378A9813" w14:textId="57A13E84" w:rsidR="00076240" w:rsidRDefault="00A64F5F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A64F5F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A64F5F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BBAB3EB" w14:textId="77777777" w:rsidR="00B53BAF" w:rsidRDefault="00B53BAF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delivering trusted payer-oriented data across claims, member, provider, and reporting workflows. Deep hands-on expertise in advanced SQL, data quality, source-to-target testing, and healthcare analytics supporting cost, quality, and operational decision-making.</w:t>
      </w:r>
    </w:p>
    <w:p w14:paraId="672AE834" w14:textId="313CFCCB" w:rsidR="00076240" w:rsidRDefault="00A64F5F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A64F5F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A64F5F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A64F5F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A64F5F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A64F5F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A64F5F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A64F5F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A64F5F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A64F5F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A64F5F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A64F5F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A64F5F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A64F5F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26733C" w14:textId="77777777" w:rsidR="00B53BAF" w:rsidRDefault="00B53BAF">
            <w:r>
              <w:t>Power BI, Tableau, Excel (advanced – pivots, lookups, Power Query), payer reporting support</w:t>
            </w:r>
          </w:p>
          <w:p w14:paraId="0B142EC0" w14:textId="303D0CF2" w:rsidR="00076240" w:rsidRDefault="00076240"/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A64F5F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A64F5F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A64F5F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A64F5F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A64F5F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A64F5F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A64F5F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76FEA5EB" w14:textId="77777777" w:rsidR="00B53BAF" w:rsidRDefault="00B53BAF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dashboards, quality metrics, and downstream KPIs.</w:t>
      </w:r>
    </w:p>
    <w:p w14:paraId="18848DA2" w14:textId="2B1F9E0A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A64F5F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A64F5F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A64F5F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A64F5F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A64F5F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A64F5F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A64F5F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A64F5F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A64F5F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4E1D38"/>
    <w:rsid w:val="00722C31"/>
    <w:rsid w:val="008F325C"/>
    <w:rsid w:val="00A64F5F"/>
    <w:rsid w:val="00A7461F"/>
    <w:rsid w:val="00B53BAF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923</Words>
  <Characters>5263</Characters>
  <Application>Microsoft Office Word</Application>
  <DocSecurity>0</DocSecurity>
  <Lines>43</Lines>
  <Paragraphs>12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2026-04-27T20:33:00Z</dcterms:modified>
</cp:coreProperties>
</file>