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1B3CA6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0D22F3F7" w14:textId="77777777" w:rsidR="007A717C" w:rsidRDefault="007A717C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Data Validation | Analytics Delivery</w:t>
      </w:r>
    </w:p>
    <w:p w14:paraId="378A9813" w14:textId="78631B80" w:rsidR="00076240" w:rsidRDefault="001B3CA6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1B3CA6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1B3CA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3AF27FA6" w14:textId="77777777" w:rsidR="007A717C" w:rsidRDefault="007A717C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high-quality enterprise data across healthcare and other regulated domains. Strong background in advanced SQL, source-to-target testing, defect reduction, and collaboration with business and technical stakeholders to ensure trusted analytical outputs.</w:t>
      </w:r>
    </w:p>
    <w:p w14:paraId="672AE834" w14:textId="4928BD49" w:rsidR="00076240" w:rsidRDefault="001B3CA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1B3CA6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1B3CA6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1B3CA6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1B3CA6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1B3CA6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1B3CA6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1B3CA6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1B3CA6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1B3CA6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8C0BDA6" w14:textId="77777777" w:rsidR="007A717C" w:rsidRDefault="007A717C">
            <w:r>
              <w:t>Source-to-target testing, record counts, duplicate / null / referential / business-rule checks, validation strategy, root-cause analysis, defect triage</w:t>
            </w:r>
          </w:p>
          <w:p w14:paraId="488BEEA5" w14:textId="201BE22E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1B3CA6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1B3CA6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1B3CA6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1B3CA6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1B3CA6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1B3CA6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1B3CA6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1B3CA6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1B3CA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1B3CA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1B3CA6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2932DD6" w14:textId="77777777" w:rsidR="007A717C" w:rsidRDefault="007A717C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claim and member records, supporting delivery of reliable analytical outputs across major releases.</w:t>
      </w:r>
    </w:p>
    <w:p w14:paraId="0177CF59" w14:textId="77777777" w:rsidR="007A717C" w:rsidRDefault="007A717C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 to improve consistency, quality, and analyst productivity.</w:t>
      </w:r>
    </w:p>
    <w:p w14:paraId="6DFBD02B" w14:textId="03522591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1B3CA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1B3CA6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1B3CA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1B3CA6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1B3CA6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1B3CA6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1B3CA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1B3CA6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1B3CA6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1B3CA6"/>
    <w:rsid w:val="004C0F90"/>
    <w:rsid w:val="004E1D38"/>
    <w:rsid w:val="00722C31"/>
    <w:rsid w:val="007A717C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2026-04-27T20:13:00Z</dcterms:modified>
</cp:coreProperties>
</file>