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78654E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081C98CE" w14:textId="77777777" w:rsidR="00202616" w:rsidRDefault="00202616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Clinical Data Analyst | SQL | Data Validation | Reporting Support</w:t>
      </w:r>
    </w:p>
    <w:p w14:paraId="378A9813" w14:textId="2AE4018F" w:rsidR="00076240" w:rsidRDefault="0078654E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78654E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7865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1A46231B" w14:textId="77777777" w:rsidR="00202616" w:rsidRDefault="00202616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extracting, validating, reconciling, and delivering trusted healthcare data across claims, member, provider, and reporting workflows. Strong expertise in advanced SQL, ETL validation, data quality, HIPAA-aware handling, and cross-functional support for dashboards and business decision-making.</w:t>
      </w:r>
    </w:p>
    <w:p w14:paraId="672AE834" w14:textId="52AEE2F8" w:rsidR="00076240" w:rsidRDefault="007865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78654E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78654E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78654E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78654E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78654E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78654E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78654E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78654E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78654E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78654E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78654E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78654E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78654E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7D2742" w14:textId="77777777" w:rsidR="00202616" w:rsidRDefault="00202616">
            <w:r>
              <w:t>Power BI, Tableau, Excel (advanced – pivots, lookups, Power Query), stakeholder reporting support</w:t>
            </w:r>
          </w:p>
          <w:p w14:paraId="0B142EC0" w14:textId="74470AFB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78654E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78654E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78654E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78654E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7865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78654E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78654E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394617AF" w14:textId="77777777" w:rsidR="00202616" w:rsidRDefault="00202616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trusted healthcare data delivery.</w:t>
      </w:r>
    </w:p>
    <w:p w14:paraId="706DE6FF" w14:textId="3057F45B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</w:t>
      </w:r>
      <w:r>
        <w:lastRenderedPageBreak/>
        <w:t xml:space="preserve"> and improved stakeholder trust in payer-operations dashboards and downstream KPIs.</w:t>
      </w:r>
    </w:p>
    <w:p w14:paraId="18848DA2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78654E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78654E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78654E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78654E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78654E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78654E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7865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78654E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78654E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202616"/>
    <w:rsid w:val="003D1A6D"/>
    <w:rsid w:val="004E1D38"/>
    <w:rsid w:val="00722C31"/>
    <w:rsid w:val="0078654E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