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EF0F1F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3201E66A" w14:textId="77777777" w:rsidR="001C241D" w:rsidRDefault="001C241D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Data Profiling | Source-to-Target Validation</w:t>
      </w:r>
    </w:p>
    <w:p w14:paraId="378A9813" w14:textId="066A2B0B" w:rsidR="00076240" w:rsidRDefault="00EF0F1F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EF0F1F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EF0F1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37391D19" w14:textId="77777777" w:rsidR="001C241D" w:rsidRDefault="001C241D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profiling, and reconciling enterprise data across healthcare and regulated domains. Strong hands-on expertise in advanced SQL, source-to-target testing, business-rule mapping, and data quality analysis supporting accurate downstream reporting and onboarding of complex data assets.</w:t>
      </w:r>
    </w:p>
    <w:p w14:paraId="672AE834" w14:textId="7CCF4939" w:rsidR="00076240" w:rsidRDefault="00EF0F1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EF0F1F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EF0F1F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EF0F1F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EF0F1F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EF0F1F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EF0F1F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EF0F1F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EF0F1F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EF0F1F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EF0F1F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EF0F1F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EF0F1F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EF0F1F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EF0F1F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EF0F1F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EF0F1F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EF0F1F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EF0F1F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EF0F1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EF0F1F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EF0F1F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3A8120BB" w14:textId="77777777" w:rsidR="001C241D" w:rsidRDefault="001C241D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and supporting complex source-to-target mapping needs.</w:t>
      </w:r>
    </w:p>
    <w:p w14:paraId="2F5FB22A" w14:textId="0EA3BC72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2B2BA29E" w14:textId="77777777" w:rsidR="001C241D" w:rsidRDefault="001C241D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 to support structured data onboarding, profiling, and issue detection across enterprise healthcare datasets.</w:t>
      </w:r>
    </w:p>
    <w:p w14:paraId="6DFBD02B" w14:textId="06D16C12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EF0F1F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EF0F1F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EF0F1F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EF0F1F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EF0F1F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EF0F1F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EF0F1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EF0F1F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EF0F1F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1C241D"/>
    <w:rsid w:val="004E1D38"/>
    <w:rsid w:val="00722C31"/>
    <w:rsid w:val="008F325C"/>
    <w:rsid w:val="00B969D9"/>
    <w:rsid w:val="00BA72FA"/>
    <w:rsid w:val="00BE4F8F"/>
    <w:rsid w:val="00EF0F1F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2026-04-27T20:34:00Z</dcterms:modified>
</cp:coreProperties>
</file>