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994746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56D5CFE5" w14:textId="77777777" w:rsidR="005E6CD8" w:rsidRDefault="005E6CD8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Data Profiling | Source-to-Target Validation</w:t>
      </w:r>
    </w:p>
    <w:p w14:paraId="378A9813" w14:textId="0CB35523" w:rsidR="00076240" w:rsidRDefault="00994746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994746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99474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619DDAA2" w14:textId="77777777" w:rsidR="005E6CD8" w:rsidRDefault="005E6CD8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profiling, and reconciling enterprise data across healthcare and regulated domains. Strong hands-on expertise in advanced SQL, source-to-target testing, business-rule mapping, and data quality analysis supporting accurate downstream reporting and onboarding of complex data assets.</w:t>
      </w:r>
    </w:p>
    <w:p w14:paraId="672AE834" w14:textId="73175828" w:rsidR="00076240" w:rsidRDefault="0099474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994746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994746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994746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994746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994746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994746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994746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994746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994746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994746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994746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994746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994746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994746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994746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994746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994746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994746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99474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99474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994746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7F307162" w14:textId="77777777" w:rsidR="005E6CD8" w:rsidRDefault="005E6CD8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and supporting complex source-to-target mapping needs.</w:t>
      </w:r>
    </w:p>
    <w:p w14:paraId="2F5FB22A" w14:textId="5322F57C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7C544310" w14:textId="77777777" w:rsidR="005E6CD8" w:rsidRDefault="005E6CD8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 to support structured data onboarding, profiling, and issue detection across enterprise healthcare datasets.</w:t>
      </w:r>
    </w:p>
    <w:p w14:paraId="6DFBD02B" w14:textId="007AA68E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99474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994746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99474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994746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994746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994746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99474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994746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994746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5E6CD8"/>
    <w:rsid w:val="00722C31"/>
    <w:rsid w:val="008F325C"/>
    <w:rsid w:val="008F38F5"/>
    <w:rsid w:val="00994746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2026-04-27T20:13:00Z</dcterms:modified>
</cp:coreProperties>
</file>