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DE4BD0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DE4BD0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DE4BD0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DE4BD0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DE4BD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14EE0650" w:rsidR="00076240" w:rsidRDefault="00DE4BD0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C06C4C">
        <w:rPr>
          <w:b/>
          <w:bCs/>
          <w:color w:val="000000"/>
        </w:rPr>
        <w:t>regulated data environments including healthcare (payer) and enterprise analytics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</w:t>
      </w:r>
      <w:r>
        <w:rPr>
          <w:color w:val="000000"/>
        </w:rPr>
        <w:t>cs readiness.</w:t>
      </w:r>
    </w:p>
    <w:p w14:paraId="672AE834" w14:textId="77777777" w:rsidR="00076240" w:rsidRDefault="00DE4BD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DE4BD0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DE4BD0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DE4BD0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DE4BD0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DE4BD0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DE4BD0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DE4BD0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DE4BD0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DE4BD0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DE4BD0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DE4BD0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DE4BD0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DE4BD0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DE4BD0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DE4BD0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DE4BD0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DE4BD0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DE4BD0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DE4BD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DE4BD0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DE4BD0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DE4BD0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DE4BD0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DE4BD0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DE4BD0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DE4BD0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DE4BD0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DE4BD0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DE4BD0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DE4BD0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645DE6"/>
    <w:rsid w:val="00722C31"/>
    <w:rsid w:val="008F325C"/>
    <w:rsid w:val="00B818BE"/>
    <w:rsid w:val="00B969D9"/>
    <w:rsid w:val="00BA72FA"/>
    <w:rsid w:val="00C06C4C"/>
    <w:rsid w:val="00D63754"/>
    <w:rsid w:val="00DE4BD0"/>
    <w:rsid w:val="00EE3805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