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Supplementary Appendix</w:t>
      </w:r>
    </w:p>
    <w:p>
      <w:pPr>
        <w:jc w:val="center"/>
      </w:pPr>
      <w:r>
        <w:rPr>
          <w:i/>
        </w:rPr>
        <w:t>Do LLMs Rate Through the Cycle? — supporting robustness and methods</w:t>
      </w:r>
    </w:p>
    <w:p>
      <w:pPr>
        <w:spacing w:before="200"/>
      </w:pPr>
      <w:r>
        <w:rPr>
          <w:b/>
          <w:sz w:val="24"/>
        </w:rPr>
        <w:t>Table S1. Robustness of the terse-framing coefficient</w:t>
      </w:r>
    </w:p>
    <w:p>
      <w:r>
        <w:rPr>
          <w:i/>
        </w:rPr>
        <w:t>β = notches/step; Net = placebo-adjusted; Exp-notch = log-probability expected-notch estimator (OpenAI only); Noise SD = within-cell seed dispersion of the notch; Probit = Amato–Furfine ordered-probit coefficient (Mundlak firm control).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Net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Exp-notch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Noise SD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Probit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Gemini 3.5 Flash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0.272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Gemini 2.5 Flash-Lite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GPT-4.1-mini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0.726</w:t>
            </w:r>
          </w:p>
        </w:tc>
      </w:tr>
    </w:tbl>
    <w:p>
      <w:pPr>
        <w:spacing w:before="200"/>
      </w:pPr>
      <w:r>
        <w:rPr>
          <w:b/>
          <w:sz w:val="24"/>
        </w:rPr>
        <w:t>Table S2. Anchoring diagnostic: rating vs PD slope by framing</w:t>
      </w:r>
    </w:p>
    <w:p>
      <w:r>
        <w:rPr>
          <w:i/>
        </w:rPr>
        <w:t>For each model, the rating slope and the log-odds PD slope under terse and through-the-cycle (TTC) framings, and PD retention = PD-slope(TTC)/PD-slope(terse). Genuine TTC behaviour holds the rating flat while the PD (a point-in-time quantity) keeps moving (high retention); the collapse in retention indicates anchoring.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Rating β terse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Rating β TTC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PD β terse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PD β TTC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PD retention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Gemini 3.5 Flash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Gemini 2.5 Flash-Lite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GPT-4.1-mini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0.402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0.59</w:t>
            </w:r>
          </w:p>
        </w:tc>
      </w:tr>
    </w:tbl>
    <w:p>
      <w:pPr>
        <w:spacing w:before="200"/>
      </w:pPr>
      <w:r>
        <w:rPr>
          <w:b/>
          <w:sz w:val="24"/>
        </w:rPr>
        <w:t>S3. Determinism and infrastructure robustness</w:t>
      </w:r>
    </w:p>
    <w:p>
      <w:r>
        <w:rPr>
          <w:i w:val="0"/>
        </w:rPr>
        <w:t>Vendor determinism is best-effort. We log the served-model system_fingerprint per call and recompute the severity coefficient with vs without fingerprint fixed effects; the coefficient shifts by &lt; 0.003 for every OpenAI model, so the effect is not attributable to backend drift. A within-cell seed noise floor (Table S1) confirms the signal exceeds residual non-determinism.</w:t>
      </w:r>
    </w:p>
    <w:p>
      <w:pPr>
        <w:spacing w:before="200"/>
      </w:pPr>
      <w:r>
        <w:rPr>
          <w:b/>
          <w:sz w:val="24"/>
        </w:rPr>
        <w:t>S4. Methods detail</w:t>
      </w:r>
    </w:p>
    <w:p>
      <w:r>
        <w:rPr>
          <w:i w:val="0"/>
        </w:rPr>
        <w:t>Battery. Firms are minted deterministically and stratified across five credit tiers (high-IG, low-IG, crossover, high-yield, distressed) × eight sectors; fundamentals are serialised once and SHA-256-hashed. Macro and placebo blocks share structure and number density; macro blocks carry GDP growth, unemployment, an investment-grade credit spread, a trailing default rate, and lending standards.</w:t>
      </w:r>
    </w:p>
    <w:p>
      <w:r>
        <w:rPr>
          <w:i w:val="0"/>
        </w:rPr>
        <w:t>Estimand and inference. The primary coefficient is the mean within-firm OLS slope of rating notch on macro severity (procyclical-positive sign). Confidence intervals are 2,000-draw cluster bootstraps resampling firms, stratified by tier. The ordered-probit (Amato–Furfine) null uses the firm mean notch as a Mundlak control to avoid the incidental-parameters problem.</w:t>
      </w:r>
    </w:p>
    <w:p>
      <w:r>
        <w:rPr>
          <w:i w:val="0"/>
        </w:rPr>
        <w:t>Pre-registration and reproducibility. The design was frozen (SHA-256) before the confirmatory run; the v_stable arm and a model-set change are logged as amendments. Analysis reads only frozen, hashed captures and is byte-identical on re-run; the deposit’s reproduce.sh verifies integrity and regenerates every number offline for $0.</w:t>
      </w:r>
    </w:p>
    <w:p>
      <w:r>
        <w:rPr>
          <w:i w:val="0"/>
        </w:rPr>
        <w:t>Scope. Synthetic fundamentals are designed for identification, not external realism; five mini/flagship models from two families (OpenAI, Google) are covered; interventions are prompt-level. A third family (xAI Grok) was pre-registered but omitted (vendor credit limit).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