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Does AI rate through the cycle? Procyclicality in credit assessment</w:t>
      </w:r>
    </w:p>
    <w:p/>
    <w:p>
      <w:r>
        <w:t>Samir Chincholikar¹   Robin Chawla²,*</w:t>
      </w:r>
    </w:p>
    <w:p>
      <w:r>
        <w:t>¹ Independent researcher, New York, USA — samir.chincholikar@gmail.com — ORCID 0009-0007-2779-3492</w:t>
      </w:r>
    </w:p>
    <w:p>
      <w:r>
        <w:t>² Independent researcher, New York, USA — robin.chawla.cse14@iitbhu.ac.in — ORCID 0009-0007-2807-3948</w:t>
      </w:r>
    </w:p>
    <w:p/>
    <w:p>
      <w:r>
        <w:rPr>
          <w:b/>
        </w:rPr>
        <w:t xml:space="preserve">* Corresponding author: </w:t>
      </w:r>
      <w:r>
        <w:t>Robin Chawla, robin.chawla.cse14@iitbhu.ac.in</w:t>
      </w:r>
    </w:p>
    <w:p/>
    <w:p>
      <w:r>
        <w:rPr>
          <w:b/>
        </w:rPr>
        <w:t>CRediT authorship contribution statement</w:t>
      </w:r>
    </w:p>
    <w:p>
      <w:r>
        <w:t>Samir Chincholikar: Conceptualization, Methodology, Software, Formal analysis, Writing – original draft. Robin Chawla: Conceptualization, Validation, Writing – review &amp; editing, Supervision.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