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ighlights"/>
    <w:p>
      <w:pPr>
        <w:pStyle w:val="Heading1"/>
      </w:pPr>
      <w:r>
        <w:t xml:space="preserve">Highlights</w:t>
      </w:r>
    </w:p>
    <w:p>
      <w:pPr>
        <w:pStyle w:val="Compact"/>
        <w:numPr>
          <w:ilvl w:val="0"/>
          <w:numId w:val="1001"/>
        </w:numPr>
      </w:pPr>
      <w:r>
        <w:t xml:space="preserve">First controlled test of procyclicality in LLM credit ratings.</w:t>
      </w:r>
    </w:p>
    <w:p>
      <w:pPr>
        <w:pStyle w:val="Compact"/>
        <w:numPr>
          <w:ilvl w:val="0"/>
          <w:numId w:val="1001"/>
        </w:numPr>
      </w:pPr>
      <w:r>
        <w:t xml:space="preserve">All seven models downgrade identical firms by 0.18 to 0.78 notches per severity step.</w:t>
      </w:r>
    </w:p>
    <w:p>
      <w:pPr>
        <w:pStyle w:val="Compact"/>
        <w:numPr>
          <w:ilvl w:val="0"/>
          <w:numId w:val="1001"/>
        </w:numPr>
      </w:pPr>
      <w:r>
        <w:t xml:space="preserve">Frontier models do not differ significantly from a lower cost Flash model.</w:t>
      </w:r>
    </w:p>
    <w:p>
      <w:pPr>
        <w:pStyle w:val="Compact"/>
        <w:numPr>
          <w:ilvl w:val="0"/>
          <w:numId w:val="1001"/>
        </w:numPr>
      </w:pPr>
      <w:r>
        <w:t xml:space="preserve">The effect is asymmetric: downside sensitivity exceeds upside in every model.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t xml:space="preserve">“through-the-cycle”</w:t>
      </w:r>
      <w:r>
        <w:t xml:space="preserve"> </w:t>
      </w:r>
      <w:r>
        <w:t xml:space="preserve">prompt anchors ratings rather than de-cyclifying them.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2026-10-07T22:27:27Z</dcterms:created>
  <dcterms:modified xsi:type="dcterms:W3CDTF">2026-10-07T22:27:27Z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