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color w:val="008000"/>
        </w:rPr>
        <w:t xml:space="preserve">Reviewer #1,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1. The study relies entirely on 80 synthetic firms. Although this design provides clean</w:t>
      </w:r>
      <w:r>
        <w:rPr>
          <w:color w:val="008000"/>
        </w:rPr>
        <w:t xml:space="preserve"> </w:t>
      </w:r>
      <w:r>
        <w:rPr>
          <w:color w:val="008000"/>
        </w:rPr>
        <w:t xml:space="preserve">identification by holding firm fundamentals fixed, it remains unclear whether the observed</w:t>
      </w:r>
      <w:r>
        <w:rPr>
          <w:color w:val="008000"/>
        </w:rPr>
        <w:t xml:space="preserve"> </w:t>
      </w:r>
      <w:r>
        <w:rPr>
          <w:color w:val="008000"/>
        </w:rPr>
        <w:t xml:space="preserve">procyclicality generalizes to real-world corporate credit assessment. The authors should</w:t>
      </w:r>
      <w:r>
        <w:rPr>
          <w:color w:val="008000"/>
        </w:rPr>
        <w:t xml:space="preserve"> </w:t>
      </w:r>
      <w:r>
        <w:rPr>
          <w:color w:val="008000"/>
        </w:rPr>
        <w:t xml:space="preserve">provide additional validation using real firms or historical financial statements, or more</w:t>
      </w:r>
      <w:r>
        <w:rPr>
          <w:color w:val="008000"/>
        </w:rPr>
        <w:t xml:space="preserve"> </w:t>
      </w:r>
      <w:r>
        <w:rPr>
          <w:color w:val="008000"/>
        </w:rPr>
        <w:t xml:space="preserve">clearly discuss the external validity of the synthetic experimental setting.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1"/>
        </w:numPr>
      </w:pPr>
      <w:r>
        <w:t xml:space="preserve">We agree and added a real-fundamentals validation arm. It uses FY2024 financial data for</w:t>
      </w:r>
      <w:r>
        <w:t xml:space="preserve"> </w:t>
      </w:r>
      <w:r>
        <w:t xml:space="preserve">80 SEC filers, with names, tickers, CIKs and dates removed, so the within-firm</w:t>
      </w:r>
      <w:r>
        <w:t xml:space="preserve"> </w:t>
      </w:r>
      <w:r>
        <w:t xml:space="preserve">counterfactual design is preserved.</w:t>
      </w:r>
    </w:p>
    <w:p>
      <w:pPr>
        <w:pStyle w:val="Compact"/>
        <w:numPr>
          <w:ilvl w:val="0"/>
          <w:numId w:val="1001"/>
        </w:numPr>
      </w:pPr>
      <w:r>
        <w:t xml:space="preserve">The positive slope replicates in all four models tested, with every interval excluding</w:t>
      </w:r>
      <w:r>
        <w:t xml:space="preserve"> </w:t>
      </w:r>
      <w:r>
        <w:t xml:space="preserve">zero: GPT-4o-mini 0.814, GPT-4o 0.407, GPT-6 Astra 0.151 and Gemini Flash 0.094 notches</w:t>
      </w:r>
      <w:r>
        <w:t xml:space="preserve"> </w:t>
      </w:r>
      <w:r>
        <w:t xml:space="preserve">per severity step.</w:t>
      </w:r>
    </w:p>
    <w:p>
      <w:pPr>
        <w:pStyle w:val="Compact"/>
        <w:numPr>
          <w:ilvl w:val="0"/>
          <w:numId w:val="1001"/>
        </w:numPr>
      </w:pPr>
      <w:r>
        <w:t xml:space="preserve">De-identification largely holds. GPT-4o identifies 0/40 real firms and GPT-6 Astra 7/40,</w:t>
      </w:r>
      <w:r>
        <w:t xml:space="preserve"> </w:t>
      </w:r>
      <w:r>
        <w:t xml:space="preserve">against 0/40 synthetic controls. The slope difference between identified and unidentified</w:t>
      </w:r>
      <w:r>
        <w:t xml:space="preserve"> </w:t>
      </w:r>
      <w:r>
        <w:t xml:space="preserve">firms is −0.003 [−0.074, 0.063]. With only seven identified firms, we do not read this as</w:t>
      </w:r>
      <w:r>
        <w:t xml:space="preserve"> </w:t>
      </w:r>
      <w:r>
        <w:t xml:space="preserve">evidence of equivalence.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2"/>
        </w:numPr>
      </w:pPr>
      <w:r>
        <w:t xml:space="preserve">Appendix A, “Real fundamentals and issuer recall” (new), reports the real-fundamentals arm</w:t>
      </w:r>
      <w:r>
        <w:t xml:space="preserve"> </w:t>
      </w:r>
      <w:r>
        <w:t xml:space="preserve">and the issuer-recall test.</w:t>
      </w:r>
    </w:p>
    <w:p>
      <w:pPr>
        <w:pStyle w:val="Compact"/>
        <w:numPr>
          <w:ilvl w:val="0"/>
          <w:numId w:val="1002"/>
        </w:numPr>
      </w:pPr>
      <w:r>
        <w:t xml:space="preserve">Table 1, Panel A, adds a β real column.</w:t>
      </w:r>
    </w:p>
    <w:p>
      <w:pPr>
        <w:pStyle w:val="Compact"/>
        <w:numPr>
          <w:ilvl w:val="0"/>
          <w:numId w:val="1002"/>
        </w:numPr>
      </w:pPr>
      <w:r>
        <w:t xml:space="preserve">Section 5 states the remaining realism gap and the absence of observed credit decisions.</w:t>
      </w:r>
    </w:p>
    <w:p>
      <w:pPr>
        <w:pStyle w:val="FirstParagraph"/>
      </w:pPr>
      <w:r>
        <w:rPr>
          <w:b/>
          <w:color w:val="008000"/>
        </w:rPr>
        <w:t xml:space="preserve">Reviewer #1,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2. The construction of the 80 synthetic firms requires further justification. The manuscript</w:t>
      </w:r>
      <w:r>
        <w:rPr>
          <w:color w:val="008000"/>
        </w:rPr>
        <w:t xml:space="preserve"> </w:t>
      </w:r>
      <w:r>
        <w:rPr>
          <w:color w:val="008000"/>
        </w:rPr>
        <w:t xml:space="preserve">states that they cover five credit-quality tiers and eight sectors, but provides limited</w:t>
      </w:r>
      <w:r>
        <w:rPr>
          <w:color w:val="008000"/>
        </w:rPr>
        <w:t xml:space="preserve"> </w:t>
      </w:r>
      <w:r>
        <w:rPr>
          <w:color w:val="008000"/>
        </w:rPr>
        <w:t xml:space="preserve">information on how their financial characteristics were generated and calibrated. The</w:t>
      </w:r>
      <w:r>
        <w:rPr>
          <w:color w:val="008000"/>
        </w:rPr>
        <w:t xml:space="preserve"> </w:t>
      </w:r>
      <w:r>
        <w:rPr>
          <w:color w:val="008000"/>
        </w:rPr>
        <w:t xml:space="preserve">authors should clarify whether the distributions and combinations of leverage,</w:t>
      </w:r>
      <w:r>
        <w:rPr>
          <w:color w:val="008000"/>
        </w:rPr>
        <w:t xml:space="preserve"> </w:t>
      </w:r>
      <w:r>
        <w:rPr>
          <w:color w:val="008000"/>
        </w:rPr>
        <w:t xml:space="preserve">profitability, liquidity, interest coverage, and other variables are representative of</w:t>
      </w:r>
      <w:r>
        <w:rPr>
          <w:color w:val="008000"/>
        </w:rPr>
        <w:t xml:space="preserve"> </w:t>
      </w:r>
      <w:r>
        <w:rPr>
          <w:color w:val="008000"/>
        </w:rPr>
        <w:t xml:space="preserve">actual firms.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3"/>
        </w:numPr>
      </w:pPr>
      <w:r>
        <w:t xml:space="preserve">We agree. Table 3 now reports the full generation specification: each line is drawn</w:t>
      </w:r>
      <w:r>
        <w:t xml:space="preserve"> </w:t>
      </w:r>
      <w:r>
        <w:t xml:space="preserve">uniformly within a tier-specific interval.</w:t>
      </w:r>
    </w:p>
    <w:p>
      <w:pPr>
        <w:pStyle w:val="Compact"/>
        <w:numPr>
          <w:ilvl w:val="0"/>
          <w:numId w:val="1003"/>
        </w:numPr>
      </w:pPr>
      <w:r>
        <w:t xml:space="preserve">We benchmark the specification against the real SEC-filer sample. In 41 of the 45</w:t>
      </w:r>
      <w:r>
        <w:t xml:space="preserve"> </w:t>
      </w:r>
      <w:r>
        <w:t xml:space="preserve">line-by-tier cells, the draw interval intersects the real-firm interquartile range. The</w:t>
      </w:r>
      <w:r>
        <w:t xml:space="preserve"> </w:t>
      </w:r>
      <w:r>
        <w:t xml:space="preserve">four exceptions are top-tier revenue and net debt to EBITDA, and distressed-firm current</w:t>
      </w:r>
      <w:r>
        <w:t xml:space="preserve"> </w:t>
      </w:r>
      <w:r>
        <w:t xml:space="preserve">ratio and working capital to assets.</w:t>
      </w:r>
    </w:p>
    <w:p>
      <w:pPr>
        <w:pStyle w:val="Compact"/>
        <w:numPr>
          <w:ilvl w:val="0"/>
          <w:numId w:val="1003"/>
        </w:numPr>
      </w:pPr>
      <w:r>
        <w:t xml:space="preserve">Because lines are drawn independently, this supports the realism of marginal credit ratios,</w:t>
      </w:r>
      <w:r>
        <w:t xml:space="preserve"> </w:t>
      </w:r>
      <w:r>
        <w:t xml:space="preserve">not firm scale or the joint covariance of real filings. We have narrowed the claim</w:t>
      </w:r>
      <w:r>
        <w:t xml:space="preserve"> </w:t>
      </w:r>
      <w:r>
        <w:t xml:space="preserve">accordingly.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4"/>
        </w:numPr>
      </w:pPr>
      <w:r>
        <w:t xml:space="preserve">Table 3 (new) reports the specification.</w:t>
      </w:r>
    </w:p>
    <w:p>
      <w:pPr>
        <w:pStyle w:val="Compact"/>
        <w:numPr>
          <w:ilvl w:val="0"/>
          <w:numId w:val="1004"/>
        </w:numPr>
      </w:pPr>
      <w:r>
        <w:t xml:space="preserve">Appendix A, “Real fundamentals and issuer recall,” reports the comparison and the</w:t>
      </w:r>
      <w:r>
        <w:t xml:space="preserve"> </w:t>
      </w:r>
      <w:r>
        <w:t xml:space="preserve">marginal-versus-joint caveat.</w:t>
      </w:r>
    </w:p>
    <w:p>
      <w:pPr>
        <w:pStyle w:val="FirstParagraph"/>
      </w:pPr>
      <w:r>
        <w:rPr>
          <w:b/>
          <w:color w:val="008000"/>
        </w:rPr>
        <w:t xml:space="preserve">Reviewer #1, Concern #3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3. The five macroeconomic states are manually constructed using GDP growth, unemployment,</w:t>
      </w:r>
      <w:r>
        <w:rPr>
          <w:color w:val="008000"/>
        </w:rPr>
        <w:t xml:space="preserve"> </w:t>
      </w:r>
      <w:r>
        <w:rPr>
          <w:color w:val="008000"/>
        </w:rPr>
        <w:t xml:space="preserve">credit spreads, default rates, and lending standards. However, these indicators change</w:t>
      </w:r>
      <w:r>
        <w:rPr>
          <w:color w:val="008000"/>
        </w:rPr>
        <w:t xml:space="preserve"> </w:t>
      </w:r>
      <w:r>
        <w:rPr>
          <w:color w:val="008000"/>
        </w:rPr>
        <w:t xml:space="preserve">simultaneously and monotonically across the severity axis. Therefore, the current experiment</w:t>
      </w:r>
      <w:r>
        <w:rPr>
          <w:color w:val="008000"/>
        </w:rPr>
        <w:t xml:space="preserve"> </w:t>
      </w:r>
      <w:r>
        <w:rPr>
          <w:color w:val="008000"/>
        </w:rPr>
        <w:t xml:space="preserve">cannot determine which macroeconomic signals primarily drive the observed rating changes.</w:t>
      </w:r>
      <w:r>
        <w:rPr>
          <w:color w:val="008000"/>
        </w:rPr>
        <w:t xml:space="preserve"> </w:t>
      </w:r>
      <w:r>
        <w:rPr>
          <w:color w:val="008000"/>
        </w:rPr>
        <w:t xml:space="preserve">Additional experiments varying individual macroeconomic factors would help identify the</w:t>
      </w:r>
      <w:r>
        <w:rPr>
          <w:color w:val="008000"/>
        </w:rPr>
        <w:t xml:space="preserve"> </w:t>
      </w:r>
      <w:r>
        <w:rPr>
          <w:color w:val="008000"/>
        </w:rPr>
        <w:t xml:space="preserve">sources of LLM procyclicality.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5"/>
        </w:numPr>
      </w:pPr>
      <w:r>
        <w:t xml:space="preserve">We agree and added a one-factor-at-a-time experiment. Each indicator moves across the same</w:t>
      </w:r>
      <w:r>
        <w:t xml:space="preserve"> </w:t>
      </w:r>
      <w:r>
        <w:t xml:space="preserve">severity range while the other four are held at neutral.</w:t>
      </w:r>
    </w:p>
    <w:p>
      <w:pPr>
        <w:pStyle w:val="Compact"/>
        <w:numPr>
          <w:ilvl w:val="0"/>
          <w:numId w:val="1005"/>
        </w:numPr>
      </w:pPr>
      <w:r>
        <w:t xml:space="preserve">The dominant signal differs by model. GPT-4o-mini responds to all five indicators. GPT-4o</w:t>
      </w:r>
      <w:r>
        <w:t xml:space="preserve"> </w:t>
      </w:r>
      <w:r>
        <w:t xml:space="preserve">responds mainly to credit spreads and default rates. Gemini Flash responds mainly to</w:t>
      </w:r>
      <w:r>
        <w:t xml:space="preserve"> </w:t>
      </w:r>
      <w:r>
        <w:t xml:space="preserve">default rates and lending standards. GPT-6 Astra responds mainly to credit spreads.</w:t>
      </w:r>
    </w:p>
    <w:p>
      <w:pPr>
        <w:pStyle w:val="Compact"/>
        <w:numPr>
          <w:ilvl w:val="0"/>
          <w:numId w:val="1005"/>
        </w:numPr>
      </w:pPr>
      <w:r>
        <w:t xml:space="preserve">The Σ/β column compares the sum of single-factor slopes with the joint slope.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6"/>
        </w:numPr>
      </w:pPr>
      <w:r>
        <w:t xml:space="preserve">Table 1, Panel B (new), reports the decomposition.</w:t>
      </w:r>
    </w:p>
    <w:p>
      <w:pPr>
        <w:pStyle w:val="FirstParagraph"/>
      </w:pPr>
      <w:r>
        <w:rPr>
          <w:b/>
          <w:color w:val="008000"/>
        </w:rPr>
        <w:t xml:space="preserve">Reviewer #1, Concern #4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4. The comparison across models should be interpreted more cautiously. The five models come</w:t>
      </w:r>
      <w:r>
        <w:rPr>
          <w:color w:val="008000"/>
        </w:rPr>
        <w:t xml:space="preserve"> </w:t>
      </w:r>
      <w:r>
        <w:rPr>
          <w:color w:val="008000"/>
        </w:rPr>
        <w:t xml:space="preserve">from only two model families, and several are</w:t>
      </w:r>
      <w:r>
        <w:rPr>
          <w:color w:val="008000"/>
        </w:rPr>
        <w:t xml:space="preserve"> </w:t>
      </w:r>
      <w:r>
        <w:rPr>
          <w:color w:val="008000"/>
        </w:rPr>
        <w:t xml:space="preserve">“mini”</w:t>
      </w:r>
      <w:r>
        <w:rPr>
          <w:color w:val="008000"/>
        </w:rPr>
        <w:t xml:space="preserve">,</w:t>
      </w:r>
      <w:r>
        <w:rPr>
          <w:color w:val="008000"/>
        </w:rPr>
        <w:t xml:space="preserve"> </w:t>
      </w:r>
      <w:r>
        <w:rPr>
          <w:color w:val="008000"/>
        </w:rPr>
        <w:t xml:space="preserve">“Flash”</w:t>
      </w:r>
      <w:r>
        <w:rPr>
          <w:color w:val="008000"/>
        </w:rPr>
        <w:t xml:space="preserve">, or</w:t>
      </w:r>
      <w:r>
        <w:rPr>
          <w:color w:val="008000"/>
        </w:rPr>
        <w:t xml:space="preserve"> </w:t>
      </w:r>
      <w:r>
        <w:rPr>
          <w:color w:val="008000"/>
        </w:rPr>
        <w:t xml:space="preserve">“Lite”</w:t>
      </w:r>
      <w:r>
        <w:rPr>
          <w:color w:val="008000"/>
        </w:rPr>
        <w:t xml:space="preserve"> </w:t>
      </w:r>
      <w:r>
        <w:rPr>
          <w:color w:val="008000"/>
        </w:rPr>
        <w:t xml:space="preserve">variants. Table 1</w:t>
      </w:r>
      <w:r>
        <w:rPr>
          <w:color w:val="008000"/>
        </w:rPr>
        <w:t xml:space="preserve"> </w:t>
      </w:r>
      <w:r>
        <w:rPr>
          <w:color w:val="008000"/>
        </w:rPr>
        <w:t xml:space="preserve">shows substantial differences across models, with the procyclicality coefficient ranging</w:t>
      </w:r>
      <w:r>
        <w:rPr>
          <w:color w:val="008000"/>
        </w:rPr>
        <w:t xml:space="preserve"> </w:t>
      </w:r>
      <w:r>
        <w:rPr>
          <w:color w:val="008000"/>
        </w:rPr>
        <w:t xml:space="preserve">from 0.230 to 0.775. Expanding the evaluation to additional model families or stronger</w:t>
      </w:r>
      <w:r>
        <w:rPr>
          <w:color w:val="008000"/>
        </w:rPr>
        <w:t xml:space="preserve"> </w:t>
      </w:r>
      <w:r>
        <w:rPr>
          <w:color w:val="008000"/>
        </w:rPr>
        <w:t xml:space="preserve">frontier models would provide more convincing support for claims concerning LLM-based credit</w:t>
      </w:r>
      <w:r>
        <w:rPr>
          <w:color w:val="008000"/>
        </w:rPr>
        <w:t xml:space="preserve"> </w:t>
      </w:r>
      <w:r>
        <w:rPr>
          <w:color w:val="008000"/>
        </w:rPr>
        <w:t xml:space="preserve">assessment more generally. They can see these recent works: Two-Channel Graph Inference and</w:t>
      </w:r>
      <w:r>
        <w:rPr>
          <w:color w:val="008000"/>
        </w:rPr>
        <w:t xml:space="preserve"> </w:t>
      </w:r>
      <w:r>
        <w:rPr>
          <w:color w:val="008000"/>
        </w:rPr>
        <w:t xml:space="preserve">Matrix Completion for Predicting CircRNA-Disease Associations in Consumer Health, A rapid</w:t>
      </w:r>
      <w:r>
        <w:rPr>
          <w:color w:val="008000"/>
        </w:rPr>
        <w:t xml:space="preserve"> </w:t>
      </w:r>
      <w:r>
        <w:rPr>
          <w:color w:val="008000"/>
        </w:rPr>
        <w:t xml:space="preserve">prediction model for MiRNA-LncRNA interactions utilizing multi-view projection fusion and</w:t>
      </w:r>
      <w:r>
        <w:rPr>
          <w:color w:val="008000"/>
        </w:rPr>
        <w:t xml:space="preserve"> </w:t>
      </w:r>
      <w:r>
        <w:rPr>
          <w:color w:val="008000"/>
        </w:rPr>
        <w:t xml:space="preserve">random parallel matrix factorization and Higher-Order Dynamic Disentangled Intent Sensing</w:t>
      </w:r>
      <w:r>
        <w:rPr>
          <w:color w:val="008000"/>
        </w:rPr>
        <w:t xml:space="preserve"> </w:t>
      </w:r>
      <w:r>
        <w:rPr>
          <w:color w:val="008000"/>
        </w:rPr>
        <w:t xml:space="preserve">and Bidirectional Joint Updating Framework for NcRNA-Drug Resistance Association Prediction.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7"/>
        </w:numPr>
      </w:pPr>
      <w:r>
        <w:t xml:space="preserve">We agree that the original model set did not reach the capability frontier, and we added</w:t>
      </w:r>
      <w:r>
        <w:t xml:space="preserve"> </w:t>
      </w:r>
      <w:r>
        <w:t xml:space="preserve">GPT-6 Astra and Gemini Pro at the full grid.</w:t>
      </w:r>
    </w:p>
    <w:p>
      <w:pPr>
        <w:pStyle w:val="Compact"/>
        <w:numPr>
          <w:ilvl w:val="0"/>
          <w:numId w:val="1007"/>
        </w:numPr>
      </w:pPr>
      <w:r>
        <w:t xml:space="preserve">Both remain significantly procyclical, at 0.198 [0.18, 0.22] and 0.182 [0.15, 0.22].</w:t>
      </w:r>
    </w:p>
    <w:p>
      <w:pPr>
        <w:pStyle w:val="Compact"/>
        <w:numPr>
          <w:ilvl w:val="0"/>
          <w:numId w:val="1007"/>
        </w:numPr>
      </w:pPr>
      <w:r>
        <w:t xml:space="preserve">Paired firm-clustered bootstraps replace informal comparison of intervals. 18 of 21 model</w:t>
      </w:r>
      <w:r>
        <w:t xml:space="preserve"> </w:t>
      </w:r>
      <w:r>
        <w:t xml:space="preserve">pairs differ significantly, or 16 after a Holm correction. Before correction, the three that do not</w:t>
      </w:r>
      <w:r>
        <w:t xml:space="preserve"> </w:t>
      </w:r>
      <w:r>
        <w:t xml:space="preserve">are Gemini</w:t>
      </w:r>
      <w:r>
        <w:t xml:space="preserve"> </w:t>
      </w:r>
      <w:r>
        <w:t xml:space="preserve">Flash versus Gemini Pro, Gemini Flash versus GPT-6 Astra, and Gemini Pro versus GPT-6</w:t>
      </w:r>
      <w:r>
        <w:t xml:space="preserve"> </w:t>
      </w:r>
      <w:r>
        <w:t xml:space="preserve">Astra.</w:t>
      </w:r>
    </w:p>
    <w:p>
      <w:pPr>
        <w:pStyle w:val="Compact"/>
        <w:numPr>
          <w:ilvl w:val="0"/>
          <w:numId w:val="1007"/>
        </w:numPr>
      </w:pPr>
      <w:r>
        <w:t xml:space="preserve">We reviewed the three suggested ncRNA references but did not cite them, as we found no</w:t>
      </w:r>
      <w:r>
        <w:t xml:space="preserve"> </w:t>
      </w:r>
      <w:r>
        <w:t xml:space="preserve">connection to credit assessment, procyclicality or LLM evaluation.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8"/>
        </w:numPr>
      </w:pPr>
      <w:r>
        <w:t xml:space="preserve">Section 3, Table 1 (Panel A) and Figure 1(a) now cover seven models.</w:t>
      </w:r>
    </w:p>
    <w:p>
      <w:pPr>
        <w:pStyle w:val="Compact"/>
        <w:numPr>
          <w:ilvl w:val="0"/>
          <w:numId w:val="1008"/>
        </w:numPr>
      </w:pPr>
      <w:r>
        <w:t xml:space="preserve">Section 4.1 and Appendix A, “Formal contrasts and sensitivity,” report the paired tests.</w:t>
      </w:r>
    </w:p>
    <w:p>
      <w:pPr>
        <w:pStyle w:val="FirstParagraph"/>
      </w:pPr>
      <w:r>
        <w:rPr>
          <w:b/>
          <w:color w:val="008000"/>
        </w:rPr>
        <w:t xml:space="preserve">Reviewer #1, Concern #5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5. The through-the-cycle prompting experiment is interesting, but the interpretation that</w:t>
      </w:r>
      <w:r>
        <w:rPr>
          <w:color w:val="008000"/>
        </w:rPr>
        <w:t xml:space="preserve"> </w:t>
      </w:r>
      <w:r>
        <w:rPr>
          <w:color w:val="008000"/>
        </w:rPr>
        <w:t xml:space="preserve">the instruction</w:t>
      </w:r>
      <w:r>
        <w:rPr>
          <w:color w:val="008000"/>
        </w:rPr>
        <w:t xml:space="preserve"> </w:t>
      </w:r>
      <w:r>
        <w:rPr>
          <w:color w:val="008000"/>
        </w:rPr>
        <w:t xml:space="preserve">“anchors rather than de-cyclifies”</w:t>
      </w:r>
      <w:r>
        <w:rPr>
          <w:color w:val="008000"/>
        </w:rPr>
        <w:t xml:space="preserve"> </w:t>
      </w:r>
      <w:r>
        <w:rPr>
          <w:color w:val="008000"/>
        </w:rPr>
        <w:t xml:space="preserve">the models requires stronger validation.</w:t>
      </w:r>
      <w:r>
        <w:rPr>
          <w:color w:val="008000"/>
        </w:rPr>
        <w:t xml:space="preserve"> </w:t>
      </w:r>
      <w:r>
        <w:rPr>
          <w:color w:val="008000"/>
        </w:rPr>
        <w:t xml:space="preserve">The conclusion mainly relies on the reduction in the verbalized one-year PD slope. Since</w:t>
      </w:r>
      <w:r>
        <w:rPr>
          <w:color w:val="008000"/>
        </w:rPr>
        <w:t xml:space="preserve"> </w:t>
      </w:r>
      <w:r>
        <w:rPr>
          <w:color w:val="008000"/>
        </w:rPr>
        <w:t xml:space="preserve">LLM-generated probabilities may themselves be poorly calibrated, additional calibration</w:t>
      </w:r>
      <w:r>
        <w:rPr>
          <w:color w:val="008000"/>
        </w:rPr>
        <w:t xml:space="preserve"> </w:t>
      </w:r>
      <w:r>
        <w:rPr>
          <w:color w:val="008000"/>
        </w:rPr>
        <w:t xml:space="preserve">analysis or alternative measures of point-in-time risk sensitivity would strengthen this</w:t>
      </w:r>
      <w:r>
        <w:rPr>
          <w:color w:val="008000"/>
        </w:rPr>
        <w:t xml:space="preserve"> </w:t>
      </w:r>
      <w:r>
        <w:rPr>
          <w:color w:val="008000"/>
        </w:rPr>
        <w:t xml:space="preserve">conclusion.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9"/>
        </w:numPr>
      </w:pPr>
      <w:r>
        <w:t xml:space="preserve">We agree that the anchoring interpretation should not rest on verbalised PDs. Section 4.3</w:t>
      </w:r>
      <w:r>
        <w:t xml:space="preserve"> </w:t>
      </w:r>
      <w:r>
        <w:t xml:space="preserve">now supports it with three measures.</w:t>
      </w:r>
    </w:p>
    <w:p>
      <w:pPr>
        <w:pStyle w:val="Compact"/>
        <w:numPr>
          <w:ilvl w:val="0"/>
          <w:numId w:val="1009"/>
        </w:numPr>
      </w:pPr>
      <w:r>
        <w:t xml:space="preserve">The rating-token expected-notch slope, which never reads a stated PD, falls under the TTC</w:t>
      </w:r>
      <w:r>
        <w:t xml:space="preserve"> </w:t>
      </w:r>
      <w:r>
        <w:t xml:space="preserve">instruction for every model that exposes token log-probabilities (Table 4). The rating</w:t>
      </w:r>
      <w:r>
        <w:t xml:space="preserve"> </w:t>
      </w:r>
      <w:r>
        <w:t xml:space="preserve">anchoring therefore holds in the model’s full rating distribution, not only in its stated</w:t>
      </w:r>
      <w:r>
        <w:t xml:space="preserve"> </w:t>
      </w:r>
      <w:r>
        <w:t xml:space="preserve">rating.</w:t>
      </w:r>
    </w:p>
    <w:p>
      <w:pPr>
        <w:pStyle w:val="Compact"/>
        <w:numPr>
          <w:ilvl w:val="0"/>
          <w:numId w:val="1009"/>
        </w:numPr>
      </w:pPr>
      <w:r>
        <w:t xml:space="preserve">PD retention on the log-odds scale lies below 0.75 for every model, ranging from 0.587 to</w:t>
      </w:r>
      <w:r>
        <w:t xml:space="preserve"> </w:t>
      </w:r>
      <w:r>
        <w:t xml:space="preserve">−0.106 (Appendix A).</w:t>
      </w:r>
    </w:p>
    <w:p>
      <w:pPr>
        <w:pStyle w:val="Compact"/>
        <w:numPr>
          <w:ilvl w:val="0"/>
          <w:numId w:val="1009"/>
        </w:numPr>
      </w:pPr>
      <w:r>
        <w:t xml:space="preserve">The “be stable” control holds the elicitation fixed and varies only the instruction. It</w:t>
      </w:r>
      <w:r>
        <w:t xml:space="preserve"> </w:t>
      </w:r>
      <w:r>
        <w:t xml:space="preserve">preserves far more PD movement than the TTC instruction.</w:t>
      </w:r>
    </w:p>
    <w:p>
      <w:pPr>
        <w:pStyle w:val="Compact"/>
        <w:numPr>
          <w:ilvl w:val="0"/>
          <w:numId w:val="1009"/>
        </w:numPr>
      </w:pPr>
      <w:r>
        <w:t xml:space="preserve">We agree that verbalised PDs need not be calibrated. The log-odds scale reduces dependence</w:t>
      </w:r>
      <w:r>
        <w:t xml:space="preserve"> </w:t>
      </w:r>
      <w:r>
        <w:t xml:space="preserve">on PD-level differences between models but is not a calibration test, and the manuscript</w:t>
      </w:r>
      <w:r>
        <w:t xml:space="preserve"> </w:t>
      </w:r>
      <w:r>
        <w:t xml:space="preserve">now says so. The anchoring result uses changes in PD, not PD levels.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0"/>
        </w:numPr>
      </w:pPr>
      <w:r>
        <w:t xml:space="preserve">Table 4 reports expected-notch slopes under both the terse and TTC framings.</w:t>
      </w:r>
    </w:p>
    <w:p>
      <w:pPr>
        <w:pStyle w:val="Compact"/>
        <w:numPr>
          <w:ilvl w:val="0"/>
          <w:numId w:val="1010"/>
        </w:numPr>
      </w:pPr>
      <w:r>
        <w:t xml:space="preserve">Appendix A, “Formal contrasts and sensitivity,” adds bootstrap intervals for PD retention</w:t>
      </w:r>
      <w:r>
        <w:t xml:space="preserve"> </w:t>
      </w:r>
      <w:r>
        <w:t xml:space="preserve">and the stable-versus-TTC contrasts, and reports “be stable” PD retention.</w:t>
      </w:r>
    </w:p>
    <w:p>
      <w:pPr>
        <w:pStyle w:val="Compact"/>
        <w:numPr>
          <w:ilvl w:val="0"/>
          <w:numId w:val="1010"/>
        </w:numPr>
      </w:pPr>
      <w:r>
        <w:t xml:space="preserve">Section 4.3 sets out the three measures and the calibration limitation.</w:t>
      </w:r>
    </w:p>
    <w:p>
      <w:pPr>
        <w:pStyle w:val="FirstParagraph"/>
      </w:pPr>
      <w:r>
        <w:rPr>
          <w:b/>
          <w:color w:val="008000"/>
        </w:rPr>
        <w:t xml:space="preserve">Reviewer #1, Concern #6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6. The capital-consequence analysis in Section 4.4 relies on a stylized mapping from</w:t>
      </w:r>
      <w:r>
        <w:rPr>
          <w:color w:val="008000"/>
        </w:rPr>
        <w:t xml:space="preserve"> </w:t>
      </w:r>
      <w:r>
        <w:rPr>
          <w:color w:val="008000"/>
        </w:rPr>
        <w:t xml:space="preserve">LLM-generated rating notches to default probabilities and then to Basel IRB capital</w:t>
      </w:r>
      <w:r>
        <w:rPr>
          <w:color w:val="008000"/>
        </w:rPr>
        <w:t xml:space="preserve"> </w:t>
      </w:r>
      <w:r>
        <w:rPr>
          <w:color w:val="008000"/>
        </w:rPr>
        <w:t xml:space="preserve">requirements. Although the authors acknowledge that this is a stylized proxy, the resulting</w:t>
      </w:r>
      <w:r>
        <w:rPr>
          <w:color w:val="008000"/>
        </w:rPr>
        <w:t xml:space="preserve"> </w:t>
      </w:r>
      <w:r>
        <w:rPr>
          <w:color w:val="008000"/>
        </w:rPr>
        <w:t xml:space="preserve">capital changes may depend considerably on the assumed rating-to-PD mapping. A more</w:t>
      </w:r>
      <w:r>
        <w:rPr>
          <w:color w:val="008000"/>
        </w:rPr>
        <w:t xml:space="preserve"> </w:t>
      </w:r>
      <w:r>
        <w:rPr>
          <w:color w:val="008000"/>
        </w:rPr>
        <w:t xml:space="preserve">comprehensive sensitivity analysis using alternative mappings or parameter settings would</w:t>
      </w:r>
      <w:r>
        <w:rPr>
          <w:color w:val="008000"/>
        </w:rPr>
        <w:t xml:space="preserve"> </w:t>
      </w:r>
      <w:r>
        <w:rPr>
          <w:color w:val="008000"/>
        </w:rPr>
        <w:t xml:space="preserve">improve the robustness of this economic interpretation.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1"/>
        </w:numPr>
      </w:pPr>
      <w:r>
        <w:t xml:space="preserve">We agree and expanded the analysis to a 259-cell grid. It crosses four notch-to-PD</w:t>
      </w:r>
      <w:r>
        <w:t xml:space="preserve"> </w:t>
      </w:r>
      <w:r>
        <w:t xml:space="preserve">mappings, three LGDs and three maturities for each of the seven models, plus one</w:t>
      </w:r>
      <w:r>
        <w:t xml:space="preserve"> </w:t>
      </w:r>
      <w:r>
        <w:t xml:space="preserve">verbalised-PD mapping per model. We also now apply the Basel 0.05% PD input floor.</w:t>
      </w:r>
    </w:p>
    <w:p>
      <w:pPr>
        <w:pStyle w:val="Compact"/>
        <w:numPr>
          <w:ilvl w:val="0"/>
          <w:numId w:val="1011"/>
        </w:numPr>
      </w:pPr>
      <w:r>
        <w:t xml:space="preserve">The capital swing is positive in all 259 cells. Its magnitude, however, varies by 2.7 to</w:t>
      </w:r>
      <w:r>
        <w:t xml:space="preserve"> </w:t>
      </w:r>
      <w:r>
        <w:t xml:space="preserve">4.7 times across the rating-based specifications and by 3.1 to 7.6 times including</w:t>
      </w:r>
      <w:r>
        <w:t xml:space="preserve"> </w:t>
      </w:r>
      <w:r>
        <w:t xml:space="preserve">verbalised PD. We therefore claim the direction, not the baseline magnitude.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2"/>
        </w:numPr>
      </w:pPr>
      <w:r>
        <w:t xml:space="preserve">Section 4.4 restates the result as directionally robust and magnitude-dependent, and</w:t>
      </w:r>
      <w:r>
        <w:t xml:space="preserve"> </w:t>
      </w:r>
      <w:r>
        <w:t xml:space="preserve">reports the floored pooled figure.</w:t>
      </w:r>
    </w:p>
    <w:p>
      <w:pPr>
        <w:pStyle w:val="Compact"/>
        <w:numPr>
          <w:ilvl w:val="0"/>
          <w:numId w:val="1012"/>
        </w:numPr>
      </w:pPr>
      <w:r>
        <w:t xml:space="preserve">Appendix A, “Formal contrasts and sensitivity,” states the baseline mapping, the floor and</w:t>
      </w:r>
      <w:r>
        <w:t xml:space="preserve"> </w:t>
      </w:r>
      <w:r>
        <w:t xml:space="preserve">the grid.</w:t>
      </w:r>
    </w:p>
    <w:p>
      <w:pPr>
        <w:pStyle w:val="Compact"/>
        <w:numPr>
          <w:ilvl w:val="0"/>
          <w:numId w:val="1012"/>
        </w:numPr>
      </w:pPr>
      <w:r>
        <w:t xml:space="preserve">The reference list adds Basel Committee on Banking Supervision (2020a), CRE31, for the IRB</w:t>
      </w:r>
      <w:r>
        <w:t xml:space="preserve"> </w:t>
      </w:r>
      <w:r>
        <w:t xml:space="preserve">risk-weight functions used in the capital mapping, and (2020b), CRE32, whose paragraph</w:t>
      </w:r>
      <w:r>
        <w:t xml:space="preserve"> </w:t>
      </w:r>
      <w:r>
        <w:t xml:space="preserve">CRE32.4 sets the 0.05% PD input floor.</w:t>
      </w:r>
    </w:p>
    <w:p>
      <w:pPr>
        <w:pStyle w:val="FirstParagraph"/>
      </w:pPr>
      <w:r>
        <w:rPr>
          <w:b/>
          <w:color w:val="008000"/>
        </w:rPr>
        <w:t xml:space="preserve">Reviewer #1, Concern #7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7. The experimental design uses two runs per condition at temperature zero. Although the</w:t>
      </w:r>
      <w:r>
        <w:rPr>
          <w:color w:val="008000"/>
        </w:rPr>
        <w:t xml:space="preserve"> </w:t>
      </w:r>
      <w:r>
        <w:rPr>
          <w:color w:val="008000"/>
        </w:rPr>
        <w:t xml:space="preserve">authors report a within-cell noise analysis, LLM outputs may still vary across repeated API</w:t>
      </w:r>
      <w:r>
        <w:rPr>
          <w:color w:val="008000"/>
        </w:rPr>
        <w:t xml:space="preserve"> </w:t>
      </w:r>
      <w:r>
        <w:rPr>
          <w:color w:val="008000"/>
        </w:rPr>
        <w:t xml:space="preserve">calls and model updates. Increasing the number of repeated runs and reporting the stability</w:t>
      </w:r>
      <w:r>
        <w:rPr>
          <w:color w:val="008000"/>
        </w:rPr>
        <w:t xml:space="preserve"> </w:t>
      </w:r>
      <w:r>
        <w:rPr>
          <w:color w:val="008000"/>
        </w:rPr>
        <w:t xml:space="preserve">of the main findings across repetitions would provide stronger evidence regarding the</w:t>
      </w:r>
      <w:r>
        <w:rPr>
          <w:color w:val="008000"/>
        </w:rPr>
        <w:t xml:space="preserve"> </w:t>
      </w:r>
      <w:r>
        <w:rPr>
          <w:color w:val="008000"/>
        </w:rPr>
        <w:t xml:space="preserve">robustness of the reported effects.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3"/>
        </w:numPr>
      </w:pPr>
      <w:r>
        <w:t xml:space="preserve">We agree and collected three further seeds for the primary condition. Four models now have</w:t>
      </w:r>
      <w:r>
        <w:t xml:space="preserve"> </w:t>
      </w:r>
      <w:r>
        <w:t xml:space="preserve">five replicates per cell. The other three retain two because their extra-seed captures</w:t>
      </w:r>
      <w:r>
        <w:t xml:space="preserve"> </w:t>
      </w:r>
      <w:r>
        <w:t xml:space="preserve">exceeded the 2% error-rate gate set in the pre-registration (Section 5), which is SHA-256</w:t>
      </w:r>
      <w:r>
        <w:t xml:space="preserve"> </w:t>
      </w:r>
      <w:r>
        <w:t xml:space="preserve">frozen and re-verified on every reproduction run.</w:t>
      </w:r>
    </w:p>
    <w:p>
      <w:pPr>
        <w:pStyle w:val="Compact"/>
        <w:numPr>
          <w:ilvl w:val="0"/>
          <w:numId w:val="1013"/>
        </w:numPr>
      </w:pPr>
      <w:r>
        <w:t xml:space="preserve">The gate operates on whole captures, not on individual observations: freeze.py refuses an</w:t>
      </w:r>
      <w:r>
        <w:t xml:space="preserve"> </w:t>
      </w:r>
      <w:r>
        <w:t xml:space="preserve">entire file whose error rate exceeds the threshold and has no mechanism for discarding rows,</w:t>
      </w:r>
      <w:r>
        <w:t xml:space="preserve"> </w:t>
      </w:r>
      <w:r>
        <w:t xml:space="preserve">so no observation was dropped for being inconvenient. The three rejected extra-seed captures</w:t>
      </w:r>
      <w:r>
        <w:t xml:space="preserve"> </w:t>
      </w:r>
      <w:r>
        <w:t xml:space="preserve">failed for distinct infrastructure reasons: Gemini Flash-Lite returned 400 INVALID_ARGUMENT on</w:t>
      </w:r>
      <w:r>
        <w:t xml:space="preserve"> </w:t>
      </w:r>
      <w:r>
        <w:t xml:space="preserve">every call, GPT-6 Astra hit 429 rate limits, and Gemini Pro exhausted its credit quota with 402.</w:t>
      </w:r>
    </w:p>
    <w:p>
      <w:pPr>
        <w:pStyle w:val="Compact"/>
        <w:numPr>
          <w:ilvl w:val="0"/>
          <w:numId w:val="1013"/>
        </w:numPr>
      </w:pPr>
      <w:r>
        <w:t xml:space="preserve">For completeness, the gate refused a fourth capture outside the seed extension: a real-firm</w:t>
      </w:r>
      <w:r>
        <w:t xml:space="preserve"> </w:t>
      </w:r>
      <w:r>
        <w:t xml:space="preserve">GPT-6 Astra through-the-cycle run at a 10.6% error rate. It was not re-run and feeds no</w:t>
      </w:r>
      <w:r>
        <w:t xml:space="preserve"> </w:t>
      </w:r>
      <w:r>
        <w:t xml:space="preserve">reported result, because the real-firm arm reports the terse-framing slope and the</w:t>
      </w:r>
      <w:r>
        <w:t xml:space="preserve"> </w:t>
      </w:r>
      <w:r>
        <w:t xml:space="preserve">through-the-cycle estimates come from the frontier and full arms, all of which froze cleanly.</w:t>
      </w:r>
      <w:r>
        <w:t xml:space="preserve"> </w:t>
      </w:r>
      <w:r>
        <w:t xml:space="preserve">All four refusals are listed with their error rates and causes in</w:t>
      </w:r>
      <w:r>
        <w:t xml:space="preserve"> </w:t>
      </w:r>
      <w:r>
        <w:t xml:space="preserve">results/revision_extras.json.</w:t>
      </w:r>
    </w:p>
    <w:p>
      <w:pPr>
        <w:pStyle w:val="Compact"/>
        <w:numPr>
          <w:ilvl w:val="0"/>
          <w:numId w:val="1013"/>
        </w:numPr>
      </w:pPr>
      <w:r>
        <w:t xml:space="preserve">Re-measurement 2.5 months later separates replication noise from version drift. Coefficient</w:t>
      </w:r>
      <w:r>
        <w:t xml:space="preserve"> </w:t>
      </w:r>
      <w:r>
        <w:t xml:space="preserve">drift lies within sampling uncertainty, with Δβ from −0.037 to +0.002. We therefore treat</w:t>
      </w:r>
      <w:r>
        <w:t xml:space="preserve"> </w:t>
      </w:r>
      <w:r>
        <w:t xml:space="preserve">the coefficients as properties of the served endpoint at the collection epoch.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4"/>
        </w:numPr>
      </w:pPr>
      <w:r>
        <w:t xml:space="preserve">Section 3 states the replicate counts and which arms are version-resolvable.</w:t>
      </w:r>
    </w:p>
    <w:p>
      <w:pPr>
        <w:pStyle w:val="Compact"/>
        <w:numPr>
          <w:ilvl w:val="0"/>
          <w:numId w:val="1014"/>
        </w:numPr>
      </w:pPr>
      <w:r>
        <w:t xml:space="preserve">Table 4 adds a Noise SD column, and Table 1 adds a Δβ column.</w:t>
      </w:r>
    </w:p>
    <w:p>
      <w:pPr>
        <w:pStyle w:val="Compact"/>
        <w:numPr>
          <w:ilvl w:val="0"/>
          <w:numId w:val="1014"/>
        </w:numPr>
      </w:pPr>
      <w:r>
        <w:t xml:space="preserve">Appendix A, “Replication and model drift” (new), reports the drift analysis.</w:t>
      </w:r>
    </w:p>
    <w:p>
      <w:pPr>
        <w:pStyle w:val="FirstParagraph"/>
      </w:pPr>
      <w:r>
        <w:rPr>
          <w:b/>
          <w:color w:val="008000"/>
        </w:rPr>
        <w:t xml:space="preserve">Reviewer #1, Concern #8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8. Some conclusions should be moderated to reflect the scope of the experiment. The study</w:t>
      </w:r>
      <w:r>
        <w:rPr>
          <w:color w:val="008000"/>
        </w:rPr>
        <w:t xml:space="preserve"> </w:t>
      </w:r>
      <w:r>
        <w:rPr>
          <w:color w:val="008000"/>
        </w:rPr>
        <w:t xml:space="preserve">provides evidence that the tested LLMs exhibit procyclical behavior under controlled</w:t>
      </w:r>
      <w:r>
        <w:rPr>
          <w:color w:val="008000"/>
        </w:rPr>
        <w:t xml:space="preserve"> </w:t>
      </w:r>
      <w:r>
        <w:rPr>
          <w:color w:val="008000"/>
        </w:rPr>
        <w:t xml:space="preserve">synthetic scenarios, but it does not directly evaluate deployed credit-rating systems or</w:t>
      </w:r>
      <w:r>
        <w:rPr>
          <w:color w:val="008000"/>
        </w:rPr>
        <w:t xml:space="preserve"> </w:t>
      </w:r>
      <w:r>
        <w:rPr>
          <w:color w:val="008000"/>
        </w:rPr>
        <w:t xml:space="preserve">actual lending decisions. Therefore, broader statements regarding the prudential</w:t>
      </w:r>
      <w:r>
        <w:rPr>
          <w:color w:val="008000"/>
        </w:rPr>
        <w:t xml:space="preserve"> </w:t>
      </w:r>
      <w:r>
        <w:rPr>
          <w:color w:val="008000"/>
        </w:rPr>
        <w:t xml:space="preserve">consequences of</w:t>
      </w:r>
      <w:r>
        <w:rPr>
          <w:color w:val="008000"/>
        </w:rPr>
        <w:t xml:space="preserve"> </w:t>
      </w:r>
      <w:r>
        <w:rPr>
          <w:color w:val="008000"/>
        </w:rPr>
        <w:t xml:space="preserve">“LLM-based credit assessment”</w:t>
      </w:r>
      <w:r>
        <w:rPr>
          <w:color w:val="008000"/>
        </w:rPr>
        <w:t xml:space="preserve"> </w:t>
      </w:r>
      <w:r>
        <w:rPr>
          <w:color w:val="008000"/>
        </w:rPr>
        <w:t xml:space="preserve">should be clearly distinguished from the</w:t>
      </w:r>
      <w:r>
        <w:rPr>
          <w:color w:val="008000"/>
        </w:rPr>
        <w:t xml:space="preserve"> </w:t>
      </w:r>
      <w:r>
        <w:rPr>
          <w:color w:val="008000"/>
        </w:rPr>
        <w:t xml:space="preserve">experimentally demonstrated findings.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5"/>
        </w:numPr>
      </w:pPr>
      <w:r>
        <w:t xml:space="preserve">We agree and have moderated the claims throughout. The conclusion now states that the study</w:t>
      </w:r>
      <w:r>
        <w:t xml:space="preserve"> </w:t>
      </w:r>
      <w:r>
        <w:t xml:space="preserve">identifies a behavioural mechanism in the tested endpoints at the collection epoch. It is</w:t>
      </w:r>
      <w:r>
        <w:t xml:space="preserve"> </w:t>
      </w:r>
      <w:r>
        <w:t xml:space="preserve">not a permanent property of a model family, and not an evaluation of deployed rating</w:t>
      </w:r>
      <w:r>
        <w:t xml:space="preserve"> </w:t>
      </w:r>
      <w:r>
        <w:t xml:space="preserve">systems, lending decisions or analyst behaviour.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6"/>
        </w:numPr>
      </w:pPr>
      <w:r>
        <w:t xml:space="preserve">The abstract, Section 1 and Section 5 were revised accordingly.</w:t>
      </w:r>
    </w:p>
    <w:p>
      <w:pPr>
        <w:pStyle w:val="FirstParagraph"/>
      </w:pPr>
      <w:r>
        <w:rPr>
          <w:b/>
          <w:color w:val="008000"/>
        </w:rPr>
        <w:t xml:space="preserve">Reviewer #2,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The first issue is that is extremely well-known from research on LLMs that their</w:t>
      </w:r>
      <w:r>
        <w:rPr>
          <w:color w:val="008000"/>
        </w:rPr>
        <w:t xml:space="preserve"> </w:t>
      </w:r>
      <w:r>
        <w:rPr>
          <w:color w:val="008000"/>
        </w:rPr>
        <w:t xml:space="preserve">capabilities might substantially differ depending on which class of model is used, with</w:t>
      </w:r>
      <w:r>
        <w:rPr>
          <w:color w:val="008000"/>
        </w:rPr>
        <w:t xml:space="preserve"> </w:t>
      </w:r>
      <w:r>
        <w:rPr>
          <w:color w:val="008000"/>
        </w:rPr>
        <w:t xml:space="preserve">work in this journal showing that there was an enormous shift in the quality of output</w:t>
      </w:r>
      <w:r>
        <w:rPr>
          <w:color w:val="008000"/>
        </w:rPr>
        <w:t xml:space="preserve"> </w:t>
      </w:r>
      <w:r>
        <w:rPr>
          <w:color w:val="008000"/>
        </w:rPr>
        <w:t xml:space="preserve">between older/less capable models and newer/more capable models. For example, the financial</w:t>
      </w:r>
      <w:r>
        <w:rPr>
          <w:color w:val="008000"/>
        </w:rPr>
        <w:t xml:space="preserve"> </w:t>
      </w:r>
      <w:r>
        <w:rPr>
          <w:color w:val="008000"/>
        </w:rPr>
        <w:t xml:space="preserve">literacy of GPT models has substantially increased between GPT-3.5 and GPT-4. GPT-6 Astra,</w:t>
      </w:r>
      <w:r>
        <w:rPr>
          <w:color w:val="008000"/>
        </w:rPr>
        <w:t xml:space="preserve"> </w:t>
      </w:r>
      <w:r>
        <w:rPr>
          <w:color w:val="008000"/>
        </w:rPr>
        <w:t xml:space="preserve">for instance, is considerably more capable than GPT-4o (one of the five models used in this</w:t>
      </w:r>
      <w:r>
        <w:rPr>
          <w:color w:val="008000"/>
        </w:rPr>
        <w:t xml:space="preserve"> </w:t>
      </w:r>
      <w:r>
        <w:rPr>
          <w:color w:val="008000"/>
        </w:rPr>
        <w:t xml:space="preserve">study). In fact, none of the models investigated in the study - Gemini Flash, Gemini</w:t>
      </w:r>
      <w:r>
        <w:rPr>
          <w:color w:val="008000"/>
        </w:rPr>
        <w:t xml:space="preserve"> </w:t>
      </w:r>
      <w:r>
        <w:rPr>
          <w:color w:val="008000"/>
        </w:rPr>
        <w:t xml:space="preserve">Flash-Lite, GPT-4.1-mini, GPT-4o, GPT-4o-mini - is a frontier model (three are mini or lite</w:t>
      </w:r>
      <w:r>
        <w:rPr>
          <w:color w:val="008000"/>
        </w:rPr>
        <w:t xml:space="preserve"> </w:t>
      </w:r>
      <w:r>
        <w:rPr>
          <w:color w:val="008000"/>
        </w:rPr>
        <w:t xml:space="preserve">variants). The main point I am trying to make here is that results might be substantially</w:t>
      </w:r>
      <w:r>
        <w:rPr>
          <w:color w:val="008000"/>
        </w:rPr>
        <w:t xml:space="preserve"> </w:t>
      </w:r>
      <w:r>
        <w:rPr>
          <w:color w:val="008000"/>
        </w:rPr>
        <w:t xml:space="preserve">different if one was to use more advanced models, for example GPT-5 Pro, or now GPT-6 Astra.</w:t>
      </w:r>
      <w:r>
        <w:rPr>
          <w:color w:val="008000"/>
        </w:rPr>
        <w:t xml:space="preserve"> </w:t>
      </w:r>
      <w:r>
        <w:rPr>
          <w:color w:val="008000"/>
        </w:rPr>
        <w:t xml:space="preserve">For Anthropic models, this would consistute the Opus or Fable models. Of course, I am</w:t>
      </w:r>
      <w:r>
        <w:rPr>
          <w:color w:val="008000"/>
        </w:rPr>
        <w:t xml:space="preserve"> </w:t>
      </w:r>
      <w:r>
        <w:rPr>
          <w:color w:val="008000"/>
        </w:rPr>
        <w:t xml:space="preserve">cognizant that these models are much more expensive than the models that have been used in</w:t>
      </w:r>
      <w:r>
        <w:rPr>
          <w:color w:val="008000"/>
        </w:rPr>
        <w:t xml:space="preserve"> </w:t>
      </w:r>
      <w:r>
        <w:rPr>
          <w:color w:val="008000"/>
        </w:rPr>
        <w:t xml:space="preserve">the study, but I would argue that if one would conduct these types of analyzes (concerning</w:t>
      </w:r>
      <w:r>
        <w:rPr>
          <w:color w:val="008000"/>
        </w:rPr>
        <w:t xml:space="preserve"> </w:t>
      </w:r>
      <w:r>
        <w:rPr>
          <w:color w:val="008000"/>
        </w:rPr>
        <w:t xml:space="preserve">credit ratings), they would be more inclined to actually use the more sophisticated (and</w:t>
      </w:r>
      <w:r>
        <w:rPr>
          <w:color w:val="008000"/>
        </w:rPr>
        <w:t xml:space="preserve"> </w:t>
      </w:r>
      <w:r>
        <w:rPr>
          <w:color w:val="008000"/>
        </w:rPr>
        <w:t xml:space="preserve">expensive) models. Therefore, I would suggest that the Authors see whether the findings</w:t>
      </w:r>
      <w:r>
        <w:rPr>
          <w:color w:val="008000"/>
        </w:rPr>
        <w:t xml:space="preserve"> </w:t>
      </w:r>
      <w:r>
        <w:rPr>
          <w:color w:val="008000"/>
        </w:rPr>
        <w:t xml:space="preserve">remain similar when using a state-of-the-art model, rather than the rather</w:t>
      </w:r>
      <w:r>
        <w:rPr>
          <w:color w:val="008000"/>
        </w:rPr>
        <w:t xml:space="preserve"> </w:t>
      </w:r>
      <w:r>
        <w:rPr>
          <w:color w:val="008000"/>
        </w:rPr>
        <w:t xml:space="preserve">“pedestrian”</w:t>
      </w:r>
      <w:r>
        <w:rPr>
          <w:color w:val="008000"/>
        </w:rPr>
        <w:t xml:space="preserve"> </w:t>
      </w:r>
      <w:r>
        <w:rPr>
          <w:color w:val="008000"/>
        </w:rPr>
        <w:t xml:space="preserve">models that were used here.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7"/>
        </w:numPr>
      </w:pPr>
      <w:r>
        <w:t xml:space="preserve">We agree and added two frontier models: GPT-6 Astra, as suggested, and Gemini Pro.</w:t>
      </w:r>
    </w:p>
    <w:p>
      <w:pPr>
        <w:pStyle w:val="Compact"/>
        <w:numPr>
          <w:ilvl w:val="0"/>
          <w:numId w:val="1017"/>
        </w:numPr>
      </w:pPr>
      <w:r>
        <w:t xml:space="preserve">Both remain significantly procyclical, at 0.198 [0.18, 0.22] and 0.182 [0.15, 0.22]. Within</w:t>
      </w:r>
      <w:r>
        <w:t xml:space="preserve"> </w:t>
      </w:r>
      <w:r>
        <w:t xml:space="preserve">each family procyclicality falls in point estimate with capability, but both frontier-model</w:t>
      </w:r>
      <w:r>
        <w:t xml:space="preserve"> </w:t>
      </w:r>
      <w:r>
        <w:t xml:space="preserve">estimates remain significantly above zero, and neither differs significantly from Gemini Flash</w:t>
      </w:r>
      <w:r>
        <w:t xml:space="preserve"> </w:t>
      </w:r>
      <w:r>
        <w:t xml:space="preserve">or from the other.</w:t>
      </w:r>
    </w:p>
    <w:p>
      <w:pPr>
        <w:pStyle w:val="Compact"/>
        <w:numPr>
          <w:ilvl w:val="0"/>
          <w:numId w:val="1017"/>
        </w:numPr>
      </w:pPr>
      <w:r>
        <w:t xml:space="preserve">The TTC result is particularly pronounced for the two frontier models. Gemini Pro’s residual</w:t>
      </w:r>
      <w:r>
        <w:t xml:space="preserve"> </w:t>
      </w:r>
      <w:r>
        <w:t xml:space="preserve">rating slope is statistically indistinguishable from zero and GPT-6 Astra’s is significantly</w:t>
      </w:r>
      <w:r>
        <w:t xml:space="preserve"> </w:t>
      </w:r>
      <w:r>
        <w:t xml:space="preserve">negative, while both retain essentially none of the PD sensitivity.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8"/>
        </w:numPr>
      </w:pPr>
      <w:r>
        <w:t xml:space="preserve">Section 3, Table 1 (Panel A) and Figure 1(a) add both models.</w:t>
      </w:r>
    </w:p>
    <w:p>
      <w:pPr>
        <w:pStyle w:val="Compact"/>
        <w:numPr>
          <w:ilvl w:val="0"/>
          <w:numId w:val="1018"/>
        </w:numPr>
      </w:pPr>
      <w:r>
        <w:t xml:space="preserve">Section 4.1 and Appendix A report the paired comparisons.</w:t>
      </w:r>
    </w:p>
    <w:p>
      <w:pPr>
        <w:pStyle w:val="Compact"/>
        <w:numPr>
          <w:ilvl w:val="0"/>
          <w:numId w:val="1018"/>
        </w:numPr>
      </w:pPr>
      <w:r>
        <w:t xml:space="preserve">Sections 4.1 and 4.3 distinguish the declining level from the persistent behaviour.</w:t>
      </w:r>
    </w:p>
    <w:p>
      <w:pPr>
        <w:pStyle w:val="FirstParagraph"/>
      </w:pPr>
      <w:r>
        <w:rPr>
          <w:b/>
          <w:color w:val="008000"/>
        </w:rPr>
        <w:t xml:space="preserve">Reviewer #2,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The second issue is somewhat related to the first one. Why might someone use LLMs to conduct</w:t>
      </w:r>
      <w:r>
        <w:rPr>
          <w:color w:val="008000"/>
        </w:rPr>
        <w:t xml:space="preserve"> </w:t>
      </w:r>
      <w:r>
        <w:rPr>
          <w:color w:val="008000"/>
        </w:rPr>
        <w:t xml:space="preserve">credit assessments? People can of course ask any type of question to LLMs, but is it</w:t>
      </w:r>
      <w:r>
        <w:rPr>
          <w:color w:val="008000"/>
        </w:rPr>
        <w:t xml:space="preserve"> </w:t>
      </w:r>
      <w:r>
        <w:rPr>
          <w:color w:val="008000"/>
        </w:rPr>
        <w:t xml:space="preserve">plausible that someone would actually rely on such assessments? It is extremely unlikely</w:t>
      </w:r>
      <w:r>
        <w:rPr>
          <w:color w:val="008000"/>
        </w:rPr>
        <w:t xml:space="preserve"> </w:t>
      </w:r>
      <w:r>
        <w:rPr>
          <w:color w:val="008000"/>
        </w:rPr>
        <w:t xml:space="preserve">that rating agencies would use simple, unsophisticated models when constructing ratings, but</w:t>
      </w:r>
      <w:r>
        <w:rPr>
          <w:color w:val="008000"/>
        </w:rPr>
        <w:t xml:space="preserve"> </w:t>
      </w:r>
      <w:r>
        <w:rPr>
          <w:color w:val="008000"/>
        </w:rPr>
        <w:t xml:space="preserve">maybe there is a case for retail investors using them to inform them on their investment</w:t>
      </w:r>
      <w:r>
        <w:rPr>
          <w:color w:val="008000"/>
        </w:rPr>
        <w:t xml:space="preserve"> </w:t>
      </w:r>
      <w:r>
        <w:rPr>
          <w:color w:val="008000"/>
        </w:rPr>
        <w:t xml:space="preserve">decisions? The Authors should try a little bit harder to convince the reader that this</w:t>
      </w:r>
      <w:r>
        <w:rPr>
          <w:color w:val="008000"/>
        </w:rPr>
        <w:t xml:space="preserve"> </w:t>
      </w:r>
      <w:r>
        <w:rPr>
          <w:color w:val="008000"/>
        </w:rPr>
        <w:t xml:space="preserve">use-case is actually plausible. I think that the less sophisticated the model, the more</w:t>
      </w:r>
      <w:r>
        <w:rPr>
          <w:color w:val="008000"/>
        </w:rPr>
        <w:t xml:space="preserve"> </w:t>
      </w:r>
      <w:r>
        <w:rPr>
          <w:color w:val="008000"/>
        </w:rPr>
        <w:t xml:space="preserve">implausible it is that LLMs present any use in such tasks.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9"/>
        </w:numPr>
      </w:pPr>
      <w:r>
        <w:t xml:space="preserve">We agree that the use case should be established rather than assumed. Section 1 now</w:t>
      </w:r>
      <w:r>
        <w:t xml:space="preserve"> </w:t>
      </w:r>
      <w:r>
        <w:t xml:space="preserve">documents emerging institutional use: Moody’s AI tools for credit assessment, underwriting</w:t>
      </w:r>
      <w:r>
        <w:t xml:space="preserve"> </w:t>
      </w:r>
      <w:r>
        <w:t xml:space="preserve">and credit-memo generation, adopted by Taishin International Bank, and S&amp;P Global’s</w:t>
      </w:r>
      <w:r>
        <w:t xml:space="preserve"> </w:t>
      </w:r>
      <w:r>
        <w:t xml:space="preserve">agentic-AI Credit Memo Builder for loan committees and credit analysts.</w:t>
      </w:r>
    </w:p>
    <w:p>
      <w:pPr>
        <w:pStyle w:val="Compact"/>
        <w:numPr>
          <w:ilvl w:val="0"/>
          <w:numId w:val="1019"/>
        </w:numPr>
      </w:pPr>
      <w:r>
        <w:t xml:space="preserve">We motivate the study through these analyst-supported internal credit workflows, not</w:t>
      </w:r>
      <w:r>
        <w:t xml:space="preserve"> </w:t>
      </w:r>
      <w:r>
        <w:t xml:space="preserve">through agency ratings delegated to general-purpose LLMs. The two added frontier models</w:t>
      </w:r>
      <w:r>
        <w:t xml:space="preserve"> </w:t>
      </w:r>
      <w:r>
        <w:t xml:space="preserve">also reflect the reviewer’s point that realistic use would involve stronger models.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0"/>
        </w:numPr>
      </w:pPr>
      <w:r>
        <w:t xml:space="preserve">Section 1, second paragraph (new), adds this evidence.</w:t>
      </w:r>
    </w:p>
    <w:p>
      <w:pPr>
        <w:pStyle w:val="Compact"/>
        <w:numPr>
          <w:ilvl w:val="0"/>
          <w:numId w:val="1020"/>
        </w:numPr>
      </w:pPr>
      <w:r>
        <w:t xml:space="preserve">The reference list adds Moody’s (2026a, 2026b) and S&amp;P Global (2026).</w:t>
      </w:r>
    </w:p>
    <w:p>
      <w:pPr>
        <w:pStyle w:val="FirstParagraph"/>
      </w:pPr>
      <w:r>
        <w:rPr>
          <w:b/>
          <w:color w:val="008000"/>
        </w:rPr>
        <w:t xml:space="preserve">Reviewer #2, Concern #3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Minor issues:</w:t>
      </w:r>
      <w:r>
        <w:rPr>
          <w:color w:val="008000"/>
        </w:rPr>
        <w:t xml:space="preserve"> </w:t>
      </w:r>
      <w:r>
        <w:rPr>
          <w:color w:val="008000"/>
        </w:rPr>
        <w:t xml:space="preserve">- The Authors use temperature = 0 as a setting for their LLMs. This should be justified</w:t>
      </w:r>
      <w:r>
        <w:rPr>
          <w:color w:val="008000"/>
        </w:rPr>
        <w:t xml:space="preserve"> </w:t>
      </w:r>
      <w:r>
        <w:rPr>
          <w:color w:val="008000"/>
        </w:rPr>
        <w:t xml:space="preserve">(higher temperature settings might produce more variable, yet plausible results; the CIs are</w:t>
      </w:r>
      <w:r>
        <w:rPr>
          <w:color w:val="008000"/>
        </w:rPr>
        <w:t xml:space="preserve"> </w:t>
      </w:r>
      <w:r>
        <w:rPr>
          <w:color w:val="008000"/>
        </w:rPr>
        <w:t xml:space="preserve">pretty narrow, perhaps too narrow).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1"/>
        </w:numPr>
      </w:pPr>
      <w:r>
        <w:t xml:space="preserve">We agree. Temperature zero, where supported, minimises decoding variability so that the</w:t>
      </w:r>
      <w:r>
        <w:t xml:space="preserve"> </w:t>
      </w:r>
      <w:r>
        <w:t xml:space="preserve">macro block is the only systematic contrast. Because decoding noise is unrelated to macro</w:t>
      </w:r>
      <w:r>
        <w:t xml:space="preserve"> </w:t>
      </w:r>
      <w:r>
        <w:t xml:space="preserve">severity, it should widen intervals rather than create a slope.</w:t>
      </w:r>
    </w:p>
    <w:p>
      <w:pPr>
        <w:pStyle w:val="Compact"/>
        <w:numPr>
          <w:ilvl w:val="0"/>
          <w:numId w:val="1021"/>
        </w:numPr>
      </w:pPr>
      <w:r>
        <w:t xml:space="preserve">GPT-6 Astra does not support temperature zero and runs at its default. Its within-cell</w:t>
      </w:r>
      <w:r>
        <w:t xml:space="preserve"> </w:t>
      </w:r>
      <w:r>
        <w:t xml:space="preserve">noise is comparable to the temperature-zero arms. Its coefficient also does not differ</w:t>
      </w:r>
      <w:r>
        <w:t xml:space="preserve"> </w:t>
      </w:r>
      <w:r>
        <w:t xml:space="preserve">significantly from Gemini Pro’s, which runs at temperature zero. Four models now carry five</w:t>
      </w:r>
      <w:r>
        <w:t xml:space="preserve"> </w:t>
      </w:r>
      <w:r>
        <w:t xml:space="preserve">replicates per cell.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2"/>
        </w:numPr>
      </w:pPr>
      <w:r>
        <w:t xml:space="preserve">Section 3 adds the decoding rationale and the replicate counts.</w:t>
      </w:r>
    </w:p>
    <w:p>
      <w:pPr>
        <w:pStyle w:val="Compact"/>
        <w:numPr>
          <w:ilvl w:val="0"/>
          <w:numId w:val="1022"/>
        </w:numPr>
      </w:pPr>
      <w:r>
        <w:t xml:space="preserve">Table 4 reports Noise SD.</w:t>
      </w:r>
    </w:p>
    <w:p>
      <w:pPr>
        <w:pStyle w:val="FirstParagraph"/>
      </w:pPr>
      <w:r>
        <w:rPr>
          <w:b/>
          <w:color w:val="008000"/>
        </w:rPr>
        <w:t xml:space="preserve">Reviewer #2, Concern #4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Compact"/>
        <w:numPr>
          <w:ilvl w:val="0"/>
          <w:numId w:val="1023"/>
        </w:numPr>
      </w:pPr>
      <w:r>
        <w:rPr>
          <w:color w:val="008000"/>
        </w:rPr>
        <w:t xml:space="preserve">I think that writing what is and isn’t suitable for a specific journal is appropriate for</w:t>
      </w:r>
      <w:r>
        <w:rPr>
          <w:color w:val="008000"/>
        </w:rPr>
        <w:t xml:space="preserve"> </w:t>
      </w:r>
      <w:r>
        <w:rPr>
          <w:color w:val="008000"/>
        </w:rPr>
        <w:t xml:space="preserve">a cover letter, but not for the manuscript. Therefore</w:t>
      </w:r>
      <w:r>
        <w:rPr>
          <w:color w:val="008000"/>
        </w:rPr>
        <w:t xml:space="preserve"> </w:t>
      </w:r>
      <w:r>
        <w:rPr>
          <w:color w:val="008000"/>
        </w:rPr>
        <w:t xml:space="preserve">“for which this journal has become a</w:t>
      </w:r>
      <w:r>
        <w:rPr>
          <w:color w:val="008000"/>
        </w:rPr>
        <w:t xml:space="preserve"> </w:t>
      </w:r>
      <w:r>
        <w:rPr>
          <w:color w:val="008000"/>
        </w:rPr>
        <w:t xml:space="preserve">leading outlet”</w:t>
      </w:r>
      <w:r>
        <w:rPr>
          <w:color w:val="008000"/>
        </w:rPr>
        <w:t xml:space="preserve"> </w:t>
      </w:r>
      <w:r>
        <w:rPr>
          <w:color w:val="008000"/>
        </w:rPr>
        <w:t xml:space="preserve">should be removed.</w:t>
      </w:r>
    </w:p>
    <w:p>
      <w:pPr>
        <w:pStyle w:val="FirstParagraph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4"/>
        </w:numPr>
      </w:pPr>
      <w:r>
        <w:t xml:space="preserve">Agreed. The statement has been removed.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5"/>
        </w:numPr>
      </w:pPr>
      <w:r>
        <w:t xml:space="preserve">The sentence in Section 2 now begins: “The second strand is the rapid adoption of LLMs in</w:t>
      </w:r>
      <w:r>
        <w:t xml:space="preserve"> </w:t>
      </w:r>
      <w:r>
        <w:t xml:space="preserve">finance (Ali et al., 2025).”</w:t>
      </w:r>
    </w:p>
    <w:p>
      <w:pPr>
        <w:pStyle w:val="FirstParagraph"/>
      </w:pPr>
      <w:r>
        <w:rPr>
          <w:b/>
          <w:color w:val="008000"/>
        </w:rPr>
        <w:t xml:space="preserve">Reviewer #3,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1. Define the through-the-cycle benchmark more precisely. The paper correctly states that</w:t>
      </w:r>
      <w:r>
        <w:rPr>
          <w:color w:val="008000"/>
        </w:rPr>
        <w:t xml:space="preserve"> </w:t>
      </w:r>
      <w:r>
        <w:rPr>
          <w:color w:val="008000"/>
        </w:rPr>
        <w:t xml:space="preserve">genuine TTC behaviour is a joint condition: the rating slope should fall toward zero while</w:t>
      </w:r>
      <w:r>
        <w:rPr>
          <w:color w:val="008000"/>
        </w:rPr>
        <w:t xml:space="preserve"> </w:t>
      </w:r>
      <w:r>
        <w:rPr>
          <w:color w:val="008000"/>
        </w:rPr>
        <w:t xml:space="preserve">the point-in-time PD should remain sensitive. Please clarify what</w:t>
      </w:r>
      <w:r>
        <w:rPr>
          <w:color w:val="008000"/>
        </w:rPr>
        <w:t xml:space="preserve"> </w:t>
      </w:r>
      <w:r>
        <w:rPr>
          <w:color w:val="008000"/>
        </w:rPr>
        <w:t xml:space="preserve">“toward zero”</w:t>
      </w:r>
      <w:r>
        <w:rPr>
          <w:color w:val="008000"/>
        </w:rPr>
        <w:t xml:space="preserve"> </w:t>
      </w:r>
      <w:r>
        <w:rPr>
          <w:color w:val="008000"/>
        </w:rPr>
        <w:t xml:space="preserve">and</w:t>
      </w:r>
      <w:r>
        <w:rPr>
          <w:color w:val="008000"/>
        </w:rPr>
        <w:t xml:space="preserve"> </w:t>
      </w:r>
      <w:r>
        <w:rPr>
          <w:color w:val="008000"/>
        </w:rPr>
        <w:t xml:space="preserve">“near</w:t>
      </w:r>
      <w:r>
        <w:rPr>
          <w:color w:val="008000"/>
        </w:rPr>
        <w:t xml:space="preserve"> </w:t>
      </w:r>
      <w:r>
        <w:rPr>
          <w:color w:val="008000"/>
        </w:rPr>
        <w:t xml:space="preserve">one”</w:t>
      </w:r>
      <w:r>
        <w:rPr>
          <w:color w:val="008000"/>
        </w:rPr>
        <w:t xml:space="preserve"> </w:t>
      </w:r>
      <w:r>
        <w:rPr>
          <w:color w:val="008000"/>
        </w:rPr>
        <w:t xml:space="preserve">mean in practice. TTC ratings need not be perfectly flat, as the rating literature</w:t>
      </w:r>
      <w:r>
        <w:rPr>
          <w:color w:val="008000"/>
        </w:rPr>
        <w:t xml:space="preserve"> </w:t>
      </w:r>
      <w:r>
        <w:rPr>
          <w:color w:val="008000"/>
        </w:rPr>
        <w:t xml:space="preserve">recognizes.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6"/>
        </w:numPr>
      </w:pPr>
      <w:r>
        <w:t xml:space="preserve">We agree and now define the benchmark: a rating slope within ±0.05 notches per step of</w:t>
      </w:r>
      <w:r>
        <w:t xml:space="preserve"> </w:t>
      </w:r>
      <w:r>
        <w:t xml:space="preserve">zero, and PD retention of at least 0.75, each tested against its bootstrap interval. Both</w:t>
      </w:r>
      <w:r>
        <w:t xml:space="preserve"> </w:t>
      </w:r>
      <w:r>
        <w:t xml:space="preserve">are reporting conventions, not supervisory standards.</w:t>
      </w:r>
    </w:p>
    <w:p>
      <w:pPr>
        <w:pStyle w:val="Compact"/>
        <w:numPr>
          <w:ilvl w:val="0"/>
          <w:numId w:val="1026"/>
        </w:numPr>
      </w:pPr>
      <w:r>
        <w:t xml:space="preserve">No model meets both conditions. Gemini Pro meets the rating condition but retains none of</w:t>
      </w:r>
      <w:r>
        <w:t xml:space="preserve"> </w:t>
      </w:r>
      <w:r>
        <w:t xml:space="preserve">the PD slope. GPT-6 Astra overshoots into a negative slope and also fails retention. The</w:t>
      </w:r>
      <w:r>
        <w:t xml:space="preserve"> </w:t>
      </w:r>
      <w:r>
        <w:t xml:space="preserve">other five models fail the rating condition.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7"/>
        </w:numPr>
      </w:pPr>
      <w:r>
        <w:t xml:space="preserve">Section 4.3 states both thresholds.</w:t>
      </w:r>
    </w:p>
    <w:p>
      <w:pPr>
        <w:pStyle w:val="Compact"/>
        <w:numPr>
          <w:ilvl w:val="0"/>
          <w:numId w:val="1027"/>
        </w:numPr>
      </w:pPr>
      <w:r>
        <w:t xml:space="preserve">Table 1 reports each model’s residual slope and PD retention.</w:t>
      </w:r>
    </w:p>
    <w:p>
      <w:pPr>
        <w:pStyle w:val="Compact"/>
        <w:numPr>
          <w:ilvl w:val="0"/>
          <w:numId w:val="1027"/>
        </w:numPr>
      </w:pPr>
      <w:r>
        <w:t xml:space="preserve">Appendix A notes that the thresholds are conventions.</w:t>
      </w:r>
    </w:p>
    <w:p>
      <w:pPr>
        <w:pStyle w:val="FirstParagraph"/>
      </w:pPr>
      <w:r>
        <w:rPr>
          <w:b/>
          <w:color w:val="008000"/>
        </w:rPr>
        <w:t xml:space="preserve">Reviewer #3,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2. Add formal tests for model and framing differences. The paper emphasizes a roughly</w:t>
      </w:r>
      <w:r>
        <w:rPr>
          <w:color w:val="008000"/>
        </w:rPr>
        <w:t xml:space="preserve"> </w:t>
      </w:r>
      <w:r>
        <w:rPr>
          <w:color w:val="008000"/>
        </w:rPr>
        <w:t xml:space="preserve">threefold spread across models and a large difference between TTC and</w:t>
      </w:r>
      <w:r>
        <w:rPr>
          <w:color w:val="008000"/>
        </w:rPr>
        <w:t xml:space="preserve"> </w:t>
      </w:r>
      <w:r>
        <w:rPr>
          <w:color w:val="008000"/>
        </w:rPr>
        <w:t xml:space="preserve">“be stable”</w:t>
      </w:r>
      <w:r>
        <w:rPr>
          <w:color w:val="008000"/>
        </w:rPr>
        <w:t xml:space="preserve"> </w:t>
      </w:r>
      <w:r>
        <w:rPr>
          <w:color w:val="008000"/>
        </w:rPr>
        <w:t xml:space="preserve">framings.</w:t>
      </w:r>
      <w:r>
        <w:rPr>
          <w:color w:val="008000"/>
        </w:rPr>
        <w:t xml:space="preserve"> </w:t>
      </w:r>
      <w:r>
        <w:rPr>
          <w:color w:val="008000"/>
        </w:rPr>
        <w:t xml:space="preserve">Please provide formal pairwise tests or bootstrap confidence intervals for these</w:t>
      </w:r>
      <w:r>
        <w:rPr>
          <w:color w:val="008000"/>
        </w:rPr>
        <w:t xml:space="preserve"> </w:t>
      </w:r>
      <w:r>
        <w:rPr>
          <w:color w:val="008000"/>
        </w:rPr>
        <w:t xml:space="preserve">differences. Overlapping per-model CIs do not by themselves establish or rule out</w:t>
      </w:r>
      <w:r>
        <w:rPr>
          <w:color w:val="008000"/>
        </w:rPr>
        <w:t xml:space="preserve"> </w:t>
      </w:r>
      <w:r>
        <w:rPr>
          <w:color w:val="008000"/>
        </w:rPr>
        <w:t xml:space="preserve">significant differences.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8"/>
        </w:numPr>
      </w:pPr>
      <w:r>
        <w:t xml:space="preserve">We agree and replaced comparisons of overlapping intervals with paired firm-clustered</w:t>
      </w:r>
      <w:r>
        <w:t xml:space="preserve"> </w:t>
      </w:r>
      <w:r>
        <w:t xml:space="preserve">bootstrap contrasts.</w:t>
      </w:r>
    </w:p>
    <w:p>
      <w:pPr>
        <w:pStyle w:val="Compact"/>
        <w:numPr>
          <w:ilvl w:val="0"/>
          <w:numId w:val="1028"/>
        </w:numPr>
      </w:pPr>
      <w:r>
        <w:t xml:space="preserve">18 of 21 model pairs differ significantly, or 16 after a Holm correction. For the three</w:t>
      </w:r>
      <w:r>
        <w:t xml:space="preserve"> </w:t>
      </w:r>
      <w:r>
        <w:t xml:space="preserve">pairs that do not differ, the manuscript now describes them as not differing</w:t>
      </w:r>
      <w:r>
        <w:t xml:space="preserve"> </w:t>
      </w:r>
      <w:r>
        <w:t xml:space="preserve">significantly rather than implying equivalence.</w:t>
      </w:r>
    </w:p>
    <w:p>
      <w:pPr>
        <w:pStyle w:val="Compact"/>
        <w:numPr>
          <w:ilvl w:val="0"/>
          <w:numId w:val="1028"/>
        </w:numPr>
      </w:pPr>
      <w:r>
        <w:t xml:space="preserve">The “be stable” versus TTC contrast in rating slope is significant in all seven models,</w:t>
      </w:r>
      <w:r>
        <w:t xml:space="preserve"> </w:t>
      </w:r>
      <w:r>
        <w:t xml:space="preserve">ranging from 0.047 [0.017, 0.080] to 0.254 [0.206, 0.304].</w:t>
      </w:r>
    </w:p>
    <w:p>
      <w:pPr>
        <w:pStyle w:val="Compact"/>
        <w:numPr>
          <w:ilvl w:val="0"/>
          <w:numId w:val="1028"/>
        </w:numPr>
      </w:pPr>
      <w:r>
        <w:t xml:space="preserve">We bootstrap the downside-to-upside ratio directly. Every interval excludes one, which</w:t>
      </w:r>
      <w:r>
        <w:t xml:space="preserve"> </w:t>
      </w:r>
      <w:r>
        <w:t xml:space="preserve">supports the direction of the asymmetry, but the intervals overlap too much to rank models.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9"/>
        </w:numPr>
      </w:pPr>
      <w:r>
        <w:t xml:space="preserve">Section 4.1 and Appendix A, “Formal contrasts and sensitivity,” report the contrasts.</w:t>
      </w:r>
    </w:p>
    <w:p>
      <w:pPr>
        <w:pStyle w:val="Compact"/>
        <w:numPr>
          <w:ilvl w:val="0"/>
          <w:numId w:val="1029"/>
        </w:numPr>
      </w:pPr>
      <w:r>
        <w:t xml:space="preserve">Section 4.2 and the Figure 2 caption replace the ranking claims with the directional</w:t>
      </w:r>
      <w:r>
        <w:t xml:space="preserve"> </w:t>
      </w:r>
      <w:r>
        <w:t xml:space="preserve">result.</w:t>
      </w:r>
    </w:p>
    <w:p>
      <w:pPr>
        <w:pStyle w:val="FirstParagraph"/>
      </w:pPr>
      <w:r>
        <w:rPr>
          <w:b/>
          <w:color w:val="008000"/>
        </w:rPr>
        <w:t xml:space="preserve">Reviewer #3, Concern #3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3. Explain the placebo-adjusted net effect more fully. The placebo moves ratings by 0.042</w:t>
      </w:r>
      <w:r>
        <w:rPr>
          <w:color w:val="008000"/>
        </w:rPr>
        <w:t xml:space="preserve"> </w:t>
      </w:r>
      <w:r>
        <w:rPr>
          <w:color w:val="008000"/>
        </w:rPr>
        <w:t xml:space="preserve">notches per step, and the net effect is 0.387. Please state whether the net effect is</w:t>
      </w:r>
      <w:r>
        <w:rPr>
          <w:color w:val="008000"/>
        </w:rPr>
        <w:t xml:space="preserve"> </w:t>
      </w:r>
      <w:r>
        <w:rPr>
          <w:color w:val="008000"/>
        </w:rPr>
        <w:t xml:space="preserve">computed by subtracting slopes, by a joint regression with both axes, or by another method.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30"/>
        </w:numPr>
      </w:pPr>
      <w:r>
        <w:t xml:space="preserve">We agree. The net effect is the pooled macro slope minus the pooled placebo slope:</w:t>
      </w:r>
      <w:r>
        <w:t xml:space="preserve"> </w:t>
      </w:r>
      <w:r>
        <w:t xml:space="preserve">0.4295 − 0.0425 = 0.387 notches per step. The earlier 0.042 was a truncation of 0.0425.</w:t>
      </w:r>
    </w:p>
    <w:p>
      <w:pPr>
        <w:pStyle w:val="Compact"/>
        <w:numPr>
          <w:ilvl w:val="0"/>
          <w:numId w:val="1030"/>
        </w:numPr>
      </w:pPr>
      <w:r>
        <w:t xml:space="preserve">Its interval, [0.363, 0.412], comes from bootstrapping the difference on the same resampled</w:t>
      </w:r>
      <w:r>
        <w:t xml:space="preserve"> </w:t>
      </w:r>
      <w:r>
        <w:t xml:space="preserve">firms. A joint specification with both axes gives the same coefficient and interval.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31"/>
        </w:numPr>
      </w:pPr>
      <w:r>
        <w:t xml:space="preserve">Appendix A, “Placebo and alternative estimators,” defines the construction and reports the</w:t>
      </w:r>
      <w:r>
        <w:t xml:space="preserve"> </w:t>
      </w:r>
      <w:r>
        <w:t xml:space="preserve">interval.</w:t>
      </w:r>
    </w:p>
    <w:p>
      <w:pPr>
        <w:pStyle w:val="FirstParagraph"/>
      </w:pPr>
      <w:r>
        <w:rPr>
          <w:b/>
          <w:color w:val="008000"/>
        </w:rPr>
        <w:t xml:space="preserve">Reviewer #3, Concern #4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4. Table 1 should define</w:t>
      </w:r>
      <w:r>
        <w:rPr>
          <w:color w:val="008000"/>
        </w:rPr>
        <w:t xml:space="preserve"> </w:t>
      </w:r>
      <w:r>
        <w:rPr>
          <w:color w:val="008000"/>
        </w:rPr>
        <w:t xml:space="preserve">“D:U,”</w:t>
      </w:r>
      <w:r>
        <w:rPr>
          <w:color w:val="008000"/>
        </w:rPr>
        <w:t xml:space="preserve"> </w:t>
      </w:r>
      <w:r>
        <w:rPr>
          <w:color w:val="008000"/>
        </w:rPr>
        <w:t xml:space="preserve">“Resid.,”</w:t>
      </w:r>
      <w:r>
        <w:rPr>
          <w:color w:val="008000"/>
        </w:rPr>
        <w:t xml:space="preserve"> </w:t>
      </w:r>
      <w:r>
        <w:rPr>
          <w:color w:val="008000"/>
        </w:rPr>
        <w:t xml:space="preserve">and</w:t>
      </w:r>
      <w:r>
        <w:rPr>
          <w:color w:val="008000"/>
        </w:rPr>
        <w:t xml:space="preserve"> </w:t>
      </w:r>
      <w:r>
        <w:rPr>
          <w:color w:val="008000"/>
        </w:rPr>
        <w:t xml:space="preserve">“PD-ret.”</w:t>
      </w:r>
      <w:r>
        <w:rPr>
          <w:color w:val="008000"/>
        </w:rPr>
        <w:t xml:space="preserve"> </w:t>
      </w:r>
      <w:r>
        <w:rPr>
          <w:color w:val="008000"/>
        </w:rPr>
        <w:t xml:space="preserve">in the notes. Table 3 should explain</w:t>
      </w:r>
      <w:r>
        <w:rPr>
          <w:color w:val="008000"/>
        </w:rPr>
        <w:t xml:space="preserve"> </w:t>
      </w:r>
      <w:r>
        <w:rPr>
          <w:color w:val="008000"/>
        </w:rPr>
        <w:t xml:space="preserve">why the expected-notch slope is blank for the Gemini models and why the noise SD is 0.000</w:t>
      </w:r>
      <w:r>
        <w:rPr>
          <w:color w:val="008000"/>
        </w:rPr>
        <w:t xml:space="preserve"> </w:t>
      </w:r>
      <w:r>
        <w:rPr>
          <w:color w:val="008000"/>
        </w:rPr>
        <w:t xml:space="preserve">for Gemini Flash-Lite.</w:t>
      </w:r>
      <w:r>
        <w:rPr>
          <w:color w:val="008000"/>
        </w:rPr>
        <w:t xml:space="preserve"> </w:t>
      </w:r>
      <w:r>
        <w:rPr>
          <w:color w:val="008000"/>
        </w:rPr>
        <w:t xml:space="preserve">“Parsing at 1.000”</w:t>
      </w:r>
      <w:r>
        <w:rPr>
          <w:color w:val="008000"/>
        </w:rPr>
        <w:t xml:space="preserve"> </w:t>
      </w:r>
      <w:r>
        <w:rPr>
          <w:color w:val="008000"/>
        </w:rPr>
        <w:t xml:space="preserve">should be written as 100% or 1.00 for clarity.</w:t>
      </w:r>
      <w:r>
        <w:rPr>
          <w:color w:val="008000"/>
        </w:rPr>
        <w:t xml:space="preserve"> </w:t>
      </w:r>
      <w:r>
        <w:rPr>
          <w:color w:val="008000"/>
        </w:rPr>
        <w:t xml:space="preserve">Figure 2 should include confidence intervals or clearly state if it does not.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32"/>
        </w:numPr>
      </w:pPr>
      <w:r>
        <w:t xml:space="preserve">Agreed. All changes have been made.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33"/>
        </w:numPr>
      </w:pPr>
      <w:r>
        <w:t xml:space="preserve">The Table 1 notes define D:U, Resid. and PD-ret.</w:t>
      </w:r>
    </w:p>
    <w:p>
      <w:pPr>
        <w:pStyle w:val="Compact"/>
        <w:numPr>
          <w:ilvl w:val="0"/>
          <w:numId w:val="1033"/>
        </w:numPr>
      </w:pPr>
      <w:r>
        <w:t xml:space="preserve">The Table 4 notes, Table 3 in the original submission, explain that expected-notch</w:t>
      </w:r>
      <w:r>
        <w:t xml:space="preserve"> </w:t>
      </w:r>
      <w:r>
        <w:t xml:space="preserve">estimates are unavailable because Gemini and GPT-6 Astra return no rating-token</w:t>
      </w:r>
      <w:r>
        <w:t xml:space="preserve"> </w:t>
      </w:r>
      <w:r>
        <w:t xml:space="preserve">log-probabilities, and that Gemini Flash-Lite’s 0.000 Noise SD is exact.</w:t>
      </w:r>
    </w:p>
    <w:p>
      <w:pPr>
        <w:pStyle w:val="Compact"/>
        <w:numPr>
          <w:ilvl w:val="0"/>
          <w:numId w:val="1033"/>
        </w:numPr>
      </w:pPr>
      <w:r>
        <w:t xml:space="preserve">Appendix A states that all 80,590 retained assessments parsed, and discloses the 101 failed</w:t>
      </w:r>
      <w:r>
        <w:t xml:space="preserve"> </w:t>
      </w:r>
      <w:r>
        <w:t xml:space="preserve">call attempts.</w:t>
      </w:r>
    </w:p>
    <w:p>
      <w:pPr>
        <w:pStyle w:val="Compact"/>
        <w:numPr>
          <w:ilvl w:val="0"/>
          <w:numId w:val="1033"/>
        </w:numPr>
      </w:pPr>
      <w:r>
        <w:t xml:space="preserve">Figure 2 now shows firm-clustered bootstrap 95% intervals.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2026-10-07T21:45:07Z</dcterms:created>
  <dcterms:modified xsi:type="dcterms:W3CDTF">2026-10-07T21:45:07Z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