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First controlled test of procyclicality in LLM credit ratings.</w:t>
      </w:r>
    </w:p>
    <w:p>
      <w:pPr>
        <w:pStyle w:val="ListBullet"/>
      </w:pPr>
      <w:r>
        <w:t>All five production-tier LLMs downgrade identical firms as the macro worsens.</w:t>
      </w:r>
    </w:p>
    <w:p>
      <w:pPr>
        <w:pStyle w:val="ListBullet"/>
      </w:pPr>
      <w:r>
        <w:t>Pooled effect: 0.43 rating notches of downgrade per macro-severity step.</w:t>
      </w:r>
    </w:p>
    <w:p>
      <w:pPr>
        <w:pStyle w:val="ListBullet"/>
      </w:pPr>
      <w:r>
        <w:t>The effect is asymmetric: about 3x steeper into recessions than booms.</w:t>
      </w:r>
    </w:p>
    <w:p>
      <w:pPr>
        <w:pStyle w:val="ListBullet"/>
      </w:pPr>
      <w:r>
        <w:t>A “through-the-cycle” prompt anchors ratings rather than de-cyclifying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