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Does AI rate through the cycle? Procyclicality in credit assessment</w:t>
      </w:r>
      <w:r>
        <w:br/>
      </w:r>
      <w:r>
        <w:t xml:space="preserve">Samir Chincholikar</w:t>
      </w:r>
      <w:r>
        <w:rPr>
          <w:vertAlign w:val="superscript"/>
        </w:rPr>
        <w:t xml:space="preserve">a</w:t>
      </w:r>
      <w:r>
        <w:t xml:space="preserve">, Robin Chawla</w:t>
      </w:r>
      <w:r>
        <w:rPr>
          <w:vertAlign w:val="superscript"/>
        </w:rPr>
        <w:t xml:space="preserve">b,*</w:t>
      </w:r>
      <w:r>
        <w:br/>
      </w:r>
      <w:r>
        <w:rPr>
          <w:vertAlign w:val="superscript"/>
        </w:rPr>
        <w:t xml:space="preserve">a</w:t>
      </w:r>
      <w:r>
        <w:t xml:space="preserve">Independent researcher, New York, USA</w:t>
      </w:r>
      <w:r>
        <w:t xml:space="preserve"> </w:t>
      </w:r>
      <w:r>
        <w:rPr>
          <w:vertAlign w:val="superscript"/>
        </w:rPr>
        <w:t xml:space="preserve">b</w:t>
      </w:r>
      <w:r>
        <w:t xml:space="preserve">Independent researcher, New York, USA</w:t>
      </w:r>
      <w:r>
        <w:br/>
      </w:r>
      <w:r>
        <w:rPr>
          <w:vertAlign w:val="superscript"/>
        </w:rPr>
        <w:t xml:space="preserve">*</w:t>
      </w:r>
      <w:r>
        <w:t xml:space="preserve">Corresponding author: robin.chawla.cse14@iitbhu.ac.in</w:t>
      </w:r>
      <w:r>
        <w:br/>
      </w:r>
      <w:r>
        <w:t xml:space="preserve">ORCID: 0009-0007-2779-3492 (S. Chincholikar); 0009-0007-2807-3948 (R. Chawla)</w:t>
      </w:r>
    </w:p>
    <w:p>
      <w:pPr>
        <w:pStyle w:val="Heading1"/>
      </w:pPr>
      <w:bookmarkStart w:id="20" w:name="highlights"/>
      <w:r>
        <w:t xml:space="preserve">Highlights</w:t>
      </w:r>
      <w:bookmarkEnd w:id="20"/>
    </w:p>
    <w:p>
      <w:pPr>
        <w:numPr>
          <w:ilvl w:val="0"/>
          <w:numId w:val="1001"/>
        </w:numPr>
      </w:pPr>
      <w:r>
        <w:t xml:space="preserve">First controlled test of procyclicality in LLM credit ratings.</w:t>
      </w:r>
    </w:p>
    <w:p>
      <w:pPr>
        <w:numPr>
          <w:ilvl w:val="0"/>
          <w:numId w:val="1001"/>
        </w:numPr>
      </w:pPr>
      <w:r>
        <w:t xml:space="preserve">All five production-tier LLMs downgrade identical firms as the macro worsens.</w:t>
      </w:r>
    </w:p>
    <w:p>
      <w:pPr>
        <w:numPr>
          <w:ilvl w:val="0"/>
          <w:numId w:val="1001"/>
        </w:numPr>
      </w:pPr>
      <w:r>
        <w:t xml:space="preserve">Pooled effect: 0.43 rating notches of downgrade per macro-severity step.</w:t>
      </w:r>
    </w:p>
    <w:p>
      <w:pPr>
        <w:numPr>
          <w:ilvl w:val="0"/>
          <w:numId w:val="1001"/>
        </w:numPr>
      </w:pPr>
      <w:r>
        <w:t xml:space="preserve">The effect is asymmetric: about 3x steeper into recessions than booms.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</w:t>
      </w:r>
      <w:r>
        <w:t xml:space="preserve">through-the-cycle</w:t>
      </w:r>
      <w:r>
        <w:t xml:space="preserve">”</w:t>
      </w:r>
      <w:r>
        <w:t xml:space="preserve"> </w:t>
      </w:r>
      <w:r>
        <w:t xml:space="preserve">prompt anchors ratings rather than de-cyclifying them.</w:t>
      </w:r>
    </w:p>
    <w:p>
      <w:pPr>
        <w:pStyle w:val="Heading1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Large language models (LLMs) are increasingly proposed as credit-rating and default-assessment</w:t>
      </w:r>
      <w:r>
        <w:t xml:space="preserve"> </w:t>
      </w:r>
      <w:r>
        <w:t xml:space="preserve">tools, yet whether they rate</w:t>
      </w:r>
      <w:r>
        <w:t xml:space="preserve"> </w:t>
      </w:r>
      <w:r>
        <w:t xml:space="preserve">“</w:t>
      </w:r>
      <w:r>
        <w:t xml:space="preserve">through the cycle</w:t>
      </w:r>
      <w:r>
        <w:t xml:space="preserve">”</w:t>
      </w:r>
      <w:r>
        <w:t xml:space="preserve"> </w:t>
      </w:r>
      <w:r>
        <w:t xml:space="preserve">or amplify it—a property prudential regulators</w:t>
      </w:r>
      <w:r>
        <w:t xml:space="preserve"> </w:t>
      </w:r>
      <w:r>
        <w:t xml:space="preserve">care about but that has been asserted rather than measured—has remained untested. We hold</w:t>
      </w:r>
      <w:r>
        <w:t xml:space="preserve"> </w:t>
      </w:r>
      <w:r>
        <w:t xml:space="preserve">synthetic firm fundamentals byte-identical across an ordered five-point macroeconomic-severity axis</w:t>
      </w:r>
      <w:r>
        <w:t xml:space="preserve"> </w:t>
      </w:r>
      <w:r>
        <w:t xml:space="preserve">(plus a matched credit-irrelevant placebo axis) and elicit letter ratings and one-year default</w:t>
      </w:r>
      <w:r>
        <w:t xml:space="preserve"> </w:t>
      </w:r>
      <w:r>
        <w:t xml:space="preserve">probabilities from five production-tier models (two families, two capability tiers), so that any rating movement is procyclicality by</w:t>
      </w:r>
      <w:r>
        <w:t xml:space="preserve"> </w:t>
      </w:r>
      <w:r>
        <w:t xml:space="preserve">construction, identified without the unobserved-fundamentals confound that limits the classical</w:t>
      </w:r>
      <w:r>
        <w:t xml:space="preserve"> </w:t>
      </w:r>
      <w:r>
        <w:t xml:space="preserve">Amato–Furfine test. Across 32</w:t>
      </w:r>
      <w:r>
        <w:t xml:space="preserve">,</w:t>
      </w:r>
      <w:r>
        <w:t xml:space="preserve">000 ratings, every model is significantly procyclical (pooled</w:t>
      </w:r>
      <w:r>
        <w:t xml:space="preserve"> </w:t>
      </w:r>
      <m:oMath>
        <m:r>
          <m:t>0.429</m:t>
        </m:r>
      </m:oMath>
      <w:r>
        <w:t xml:space="preserve"> </w:t>
      </w:r>
      <w:r>
        <w:t xml:space="preserve">rating notches of downgrade per severity step, 95% CI</w:t>
      </w:r>
      <w:r>
        <w:t xml:space="preserve"> </w:t>
      </w:r>
      <m:oMath>
        <m:r>
          <m:t>[</m:t>
        </m:r>
        <m:r>
          <m:t>0.41</m:t>
        </m:r>
        <m:r>
          <m:t>,</m:t>
        </m:r>
        <m:r>
          <m:t>0.45</m:t>
        </m:r>
        <m:r>
          <m:t>]</m:t>
        </m:r>
      </m:oMath>
      <w:r>
        <w:t xml:space="preserve">; a</w:t>
      </w:r>
      <w:r>
        <w:t xml:space="preserve"> </w:t>
      </w:r>
      <m:oMath>
        <m:r>
          <m:t>1.76</m:t>
        </m:r>
      </m:oMath>
      <w:r>
        <w:t xml:space="preserve">-notch</w:t>
      </w:r>
      <w:r>
        <w:t xml:space="preserve"> </w:t>
      </w:r>
      <w:r>
        <w:t xml:space="preserve">boom-to-recession swing), the effect is sharply asymmetric (</w:t>
      </w:r>
      <m:oMath>
        <m:r>
          <m:t>3.2</m:t>
        </m:r>
        <m:r>
          <m:t>×</m:t>
        </m:r>
      </m:oMath>
      <w:r>
        <w:t xml:space="preserve"> </w:t>
      </w:r>
      <w:r>
        <w:t xml:space="preserve">steeper into recessions than</w:t>
      </w:r>
      <w:r>
        <w:t xml:space="preserve"> </w:t>
      </w:r>
      <w:r>
        <w:t xml:space="preserve">out of them), an order of magnitude larger than the placebo, and robust to model-version fixed</w:t>
      </w:r>
      <w:r>
        <w:t xml:space="preserve"> </w:t>
      </w:r>
      <w:r>
        <w:t xml:space="preserve">effects and a token-logprobability estimator. An explicit</w:t>
      </w:r>
      <w:r>
        <w:t xml:space="preserve"> </w:t>
      </w:r>
      <w:r>
        <w:t xml:space="preserve">“</w:t>
      </w:r>
      <w:r>
        <w:t xml:space="preserve">through-the-cycle</w:t>
      </w:r>
      <w:r>
        <w:t xml:space="preserve">”</w:t>
      </w:r>
      <w:r>
        <w:t xml:space="preserve"> </w:t>
      </w:r>
      <w:r>
        <w:t xml:space="preserve">instruction lowers</w:t>
      </w:r>
      <w:r>
        <w:t xml:space="preserve"> </w:t>
      </w:r>
      <w:r>
        <w:t xml:space="preserve">the rating slope but does not restore through-the-cycle behaviour—it anchors the rating while</w:t>
      </w:r>
      <w:r>
        <w:t xml:space="preserve"> </w:t>
      </w:r>
      <w:r>
        <w:t xml:space="preserve">suppressing the point-in-time default probability that should move, whereas a naive</w:t>
      </w:r>
      <w:r>
        <w:t xml:space="preserve"> </w:t>
      </w:r>
      <w:r>
        <w:t xml:space="preserve">“</w:t>
      </w:r>
      <w:r>
        <w:t xml:space="preserve">be stable</w:t>
      </w:r>
      <w:r>
        <w:t xml:space="preserve">”</w:t>
      </w:r>
      <w:r>
        <w:t xml:space="preserve"> </w:t>
      </w:r>
      <w:r>
        <w:t xml:space="preserve">instruction preserves that distinction better. Because model choice and prompt framing are</w:t>
      </w:r>
      <w:r>
        <w:t xml:space="preserve"> </w:t>
      </w:r>
      <w:r>
        <w:t xml:space="preserve">first-order determinants of the effect, LLM-based credit assessment can silently import the</w:t>
      </w:r>
      <w:r>
        <w:t xml:space="preserve"> </w:t>
      </w:r>
      <w:r>
        <w:t xml:space="preserve">capital-procyclicality channel that regulation seeks to dampen.</w:t>
      </w:r>
      <w:r>
        <w:t xml:space="preserve"> </w:t>
      </w:r>
      <w:r>
        <w:rPr>
          <w:b/>
        </w:rPr>
        <w:t xml:space="preserve">Keywords:</w:t>
      </w:r>
      <w:r>
        <w:t xml:space="preserve"> </w:t>
      </w:r>
      <w:r>
        <w:t xml:space="preserve">large language models; credit ratings; procyclicality; through-the-cycle; prompt framing; financial regulation</w:t>
      </w:r>
      <w:r>
        <w:br/>
      </w:r>
    </w:p>
    <w:p>
      <w:pPr>
        <w:pStyle w:val="Heading1"/>
      </w:pPr>
      <w:bookmarkStart w:id="22" w:name="introduction"/>
      <w:r>
        <w:t xml:space="preserve">Introduction</w:t>
      </w:r>
      <w:bookmarkEnd w:id="22"/>
    </w:p>
    <w:p>
      <w:pPr>
        <w:pStyle w:val="FirstParagraph"/>
      </w:pPr>
      <w:r>
        <w:t xml:space="preserve">Credit ratings are important for debt pricing, investment decisions, and regulatory capital</w:t>
      </w:r>
      <w:r>
        <w:t xml:space="preserve"> </w:t>
      </w:r>
      <w:r>
        <w:t xml:space="preserve">requirements. A perennial concern is that ratings could be procyclical, with companies downgraded</w:t>
      </w:r>
      <w:r>
        <w:t xml:space="preserve"> </w:t>
      </w:r>
      <w:r>
        <w:t xml:space="preserve">during recessions and upgraded during expansions even when the underlying credit fundamentals have not</w:t>
      </w:r>
      <w:r>
        <w:t xml:space="preserve"> </w:t>
      </w:r>
      <w:r>
        <w:t xml:space="preserve">materially changed. Such rating changes can exacerbate the credit cycle by raising borrowing costs and,</w:t>
      </w:r>
      <w:r>
        <w:t xml:space="preserve"> </w:t>
      </w:r>
      <w:r>
        <w:t xml:space="preserve">through internal-ratings-based (IRB) capital rules, capital requirements when economic conditions are</w:t>
      </w:r>
      <w:r>
        <w:t xml:space="preserve"> </w:t>
      </w:r>
      <w:r>
        <w:t xml:space="preserve">already weak (Kashyap and Stein, 2004; Gordy and Howells, 2006). Rating agencies therefore attempt to capture</w:t>
      </w:r>
      <w:r>
        <w:t xml:space="preserve"> </w:t>
      </w:r>
      <w:r>
        <w:t xml:space="preserve">creditworthiness</w:t>
      </w:r>
      <w:r>
        <w:t xml:space="preserve"> </w:t>
      </w:r>
      <w:r>
        <w:t xml:space="preserve">“</w:t>
      </w:r>
      <w:r>
        <w:t xml:space="preserve">through the cycle</w:t>
      </w:r>
      <w:r>
        <w:t xml:space="preserve">”</w:t>
      </w:r>
      <w:r>
        <w:t xml:space="preserve"> </w:t>
      </w:r>
      <w:r>
        <w:t xml:space="preserve">(TTC), placing more importance on a borrower’s ability to</w:t>
      </w:r>
      <w:r>
        <w:t xml:space="preserve"> </w:t>
      </w:r>
      <w:r>
        <w:t xml:space="preserve">withstand temporary macroeconomic fluctuations than on mechanically reacting to current conditions</w:t>
      </w:r>
      <w:r>
        <w:t xml:space="preserve"> </w:t>
      </w:r>
      <w:r>
        <w:t xml:space="preserve">(Amato and Furfine, 2004; Löffler, 2004). However, whether these ratings actually serve this purpose remains</w:t>
      </w:r>
      <w:r>
        <w:t xml:space="preserve"> </w:t>
      </w:r>
      <w:r>
        <w:t xml:space="preserve">debated (Löffler, 2013).</w:t>
      </w:r>
    </w:p>
    <w:p>
      <w:pPr>
        <w:pStyle w:val="BodyText"/>
      </w:pPr>
      <w:r>
        <w:t xml:space="preserve">There is growing interest in using large language models (LLMs) for financial decision-making,</w:t>
      </w:r>
      <w:r>
        <w:t xml:space="preserve"> </w:t>
      </w:r>
      <w:r>
        <w:t xml:space="preserve">including credit decisioning and risk assessment, and supervisors have flagged that generative models</w:t>
      </w:r>
      <w:r>
        <w:t xml:space="preserve"> </w:t>
      </w:r>
      <w:r>
        <w:t xml:space="preserve">could re-introduce procyclicality (Aldasoro et al., 2024). This concern is justified: LLMs behave as</w:t>
      </w:r>
      <w:r>
        <w:t xml:space="preserve"> </w:t>
      </w:r>
      <w:r>
        <w:t xml:space="preserve">context-sensitive economic agents (Horton, 2023; Binz and Schulz, 2023), their outputs are highly sensitive to</w:t>
      </w:r>
      <w:r>
        <w:t xml:space="preserve"> </w:t>
      </w:r>
      <w:r>
        <w:t xml:space="preserve">the way prompts are framed (Tversky and Kahneman, 1981), and a shared foundation model could homogenise</w:t>
      </w:r>
      <w:r>
        <w:t xml:space="preserve"> </w:t>
      </w:r>
      <w:r>
        <w:t xml:space="preserve">decisions across users (Bommasani et al., 2022). Yet the size of this effect on credit ratings has not</w:t>
      </w:r>
      <w:r>
        <w:t xml:space="preserve"> </w:t>
      </w:r>
      <w:r>
        <w:t xml:space="preserve">been directly measured. Identifying procyclicality in observational studies of human agencies is</w:t>
      </w:r>
      <w:r>
        <w:t xml:space="preserve"> </w:t>
      </w:r>
      <w:r>
        <w:t xml:space="preserve">difficult because firm fundamentals and macroeconomic conditions tend to move together, so the</w:t>
      </w:r>
      <w:r>
        <w:t xml:space="preserve"> </w:t>
      </w:r>
      <w:r>
        <w:t xml:space="preserve">classical ordered-probit test of Amato and Furfine (2004) must proxy for unobserved fundamentals. Recent</w:t>
      </w:r>
      <w:r>
        <w:t xml:space="preserve"> </w:t>
      </w:r>
      <w:r>
        <w:t xml:space="preserve">evidence that frontier LLMs reproduce date-specific human economic sentiment (Graham et al., 2026) makes</w:t>
      </w:r>
      <w:r>
        <w:t xml:space="preserve"> </w:t>
      </w:r>
      <w:r>
        <w:t xml:space="preserve">the question both timely and concrete.</w:t>
      </w:r>
    </w:p>
    <w:p>
      <w:pPr>
        <w:pStyle w:val="BodyText"/>
      </w:pPr>
      <w:r>
        <w:t xml:space="preserve">This paper uses a controlled experimental setting to test the procyclicality of LLM-based credit</w:t>
      </w:r>
      <w:r>
        <w:t xml:space="preserve"> </w:t>
      </w:r>
      <w:r>
        <w:t xml:space="preserve">rating. We keep the firm fundamentals unchanged and only change the macroeconomic environment, so any</w:t>
      </w:r>
      <w:r>
        <w:t xml:space="preserve"> </w:t>
      </w:r>
      <w:r>
        <w:t xml:space="preserve">systematic change in the assigned rating can be attributed to the macroeconomic context and not to</w:t>
      </w:r>
      <w:r>
        <w:t xml:space="preserve"> </w:t>
      </w:r>
      <w:r>
        <w:t xml:space="preserve">changes in firm credit quality. The benchmark is not that any movement is bad: a genuine</w:t>
      </w:r>
      <w:r>
        <w:t xml:space="preserve"> </w:t>
      </w:r>
      <w:r>
        <w:t xml:space="preserve">through-the-cycle rater should hold the</w:t>
      </w:r>
      <w:r>
        <w:t xml:space="preserve"> </w:t>
      </w:r>
      <w:r>
        <w:rPr>
          <w:i/>
        </w:rPr>
        <w:t xml:space="preserve">rating</w:t>
      </w:r>
      <w:r>
        <w:t xml:space="preserve"> </w:t>
      </w:r>
      <w:r>
        <w:t xml:space="preserve">steady while its point-in-time default</w:t>
      </w:r>
      <w:r>
        <w:t xml:space="preserve"> </w:t>
      </w:r>
      <w:r>
        <w:t xml:space="preserve">probability still tracks conditions, and we test that joint condition directly. We make three</w:t>
      </w:r>
      <w:r>
        <w:t xml:space="preserve"> </w:t>
      </w:r>
      <w:r>
        <w:t xml:space="preserve">contributions. We first show that all five production-tier models tested downgrade identical firms as</w:t>
      </w:r>
      <w:r>
        <w:t xml:space="preserve"> </w:t>
      </w:r>
      <w:r>
        <w:t xml:space="preserve">the state of the economy deteriorates, but the magnitude differs substantially across models. Second,</w:t>
      </w:r>
      <w:r>
        <w:t xml:space="preserve"> </w:t>
      </w:r>
      <w:r>
        <w:t xml:space="preserve">we find a strong asymmetry, with rating sensitivity significantly larger in recessions than in</w:t>
      </w:r>
      <w:r>
        <w:t xml:space="preserve"> </w:t>
      </w:r>
      <w:r>
        <w:t xml:space="preserve">expansions. Third, we test whether this behaviour can be mitigated via prompt design: an explicit</w:t>
      </w:r>
      <w:r>
        <w:t xml:space="preserve"> </w:t>
      </w:r>
      <w:r>
        <w:t xml:space="preserve">through-the-cycle instruction decreases rating movement, but it also suppresses the one-year default</w:t>
      </w:r>
      <w:r>
        <w:t xml:space="preserve"> </w:t>
      </w:r>
      <w:r>
        <w:t xml:space="preserve">probability’s responsiveness, suggesting that the model anchors its outputs instead of distinguishing</w:t>
      </w:r>
      <w:r>
        <w:t xml:space="preserve"> </w:t>
      </w:r>
      <w:r>
        <w:t xml:space="preserve">between point-in-time risk and through-the-cycle ratings (Tversky and Kahneman, 1974). Section 2</w:t>
      </w:r>
      <w:r>
        <w:t xml:space="preserve"> </w:t>
      </w:r>
      <w:r>
        <w:t xml:space="preserve">positions the contribution; Section 3 sets out the design; Section 4</w:t>
      </w:r>
      <w:r>
        <w:t xml:space="preserve"> </w:t>
      </w:r>
      <w:r>
        <w:t xml:space="preserve">reports the results; Section 5 concludes.</w:t>
      </w:r>
    </w:p>
    <w:p>
      <w:pPr>
        <w:pStyle w:val="Heading1"/>
      </w:pPr>
      <w:bookmarkStart w:id="23" w:name="related-literature"/>
      <w:r>
        <w:t xml:space="preserve">Related literature</w:t>
      </w:r>
      <w:bookmarkEnd w:id="23"/>
    </w:p>
    <w:p>
      <w:pPr>
        <w:pStyle w:val="FirstParagraph"/>
      </w:pPr>
      <w:r>
        <w:t xml:space="preserve">Our study relates to three strands of literature. The first relates to the assessment of</w:t>
      </w:r>
      <w:r>
        <w:t xml:space="preserve"> </w:t>
      </w:r>
      <w:r>
        <w:t xml:space="preserve">through-the-cycle and rating procyclicality. Amato and Furfine (2004) test the response of credit ratings to</w:t>
      </w:r>
      <w:r>
        <w:t xml:space="preserve"> </w:t>
      </w:r>
      <w:r>
        <w:t xml:space="preserve">the business cycle, controlling for firm fundamentals, and Löffler (2004); Löffler (2013) examine the</w:t>
      </w:r>
      <w:r>
        <w:t xml:space="preserve"> </w:t>
      </w:r>
      <w:r>
        <w:t xml:space="preserve">extent to which rating agencies achieve through-the-cycle stability. The prudential stakes are set by</w:t>
      </w:r>
      <w:r>
        <w:t xml:space="preserve"> </w:t>
      </w:r>
      <w:r>
        <w:t xml:space="preserve">the interaction of ratings with Basel capital rules (Kashyap and Stein, 2004; Gordy and Howells, 2006), with sovereign and</w:t>
      </w:r>
      <w:r>
        <w:t xml:space="preserve"> </w:t>
      </w:r>
      <w:r>
        <w:t xml:space="preserve">corporate ratings alike carrying real pricing consequences (Cantor and Packer, 1996).</w:t>
      </w:r>
    </w:p>
    <w:p>
      <w:pPr>
        <w:pStyle w:val="BodyText"/>
      </w:pPr>
      <w:r>
        <w:t xml:space="preserve">The second strand is the rapid adoption of</w:t>
      </w:r>
      <w:r>
        <w:t xml:space="preserve"> </w:t>
      </w:r>
      <w:r>
        <w:rPr>
          <w:i/>
        </w:rPr>
        <w:t xml:space="preserve">LLMs in finance</w:t>
      </w:r>
      <w:r>
        <w:t xml:space="preserve">, for which this journal has become a</w:t>
      </w:r>
      <w:r>
        <w:t xml:space="preserve"> </w:t>
      </w:r>
      <w:r>
        <w:t xml:space="preserve">leading outlet (Ali et al., 2025). Recent applications include return prediction (Lopez-Lira and Tang, 2023),</w:t>
      </w:r>
      <w:r>
        <w:t xml:space="preserve"> </w:t>
      </w:r>
      <w:r>
        <w:t xml:space="preserve">financial-statement analysis (Kim et al., 2024), financial advice (Fieberg et al., 2025; Kirschbaum et al., 2026), and</w:t>
      </w:r>
      <w:r>
        <w:t xml:space="preserve"> </w:t>
      </w:r>
      <w:r>
        <w:t xml:space="preserve">use as simulated economic agents (Horton, 2023); within finance specifically, models have been</w:t>
      </w:r>
      <w:r>
        <w:t xml:space="preserve"> </w:t>
      </w:r>
      <w:r>
        <w:t xml:space="preserve">turned to measuring monetary-policy uncertainty (Ito et al., 2025), assessing the financial conditions of</w:t>
      </w:r>
      <w:r>
        <w:t xml:space="preserve"> </w:t>
      </w:r>
      <w:r>
        <w:t xml:space="preserve">AI firms (Giaretta and Zen, 2026), and—most relevant here—to reliability evidence in banking</w:t>
      </w:r>
      <w:r>
        <w:t xml:space="preserve"> </w:t>
      </w:r>
      <w:r>
        <w:t xml:space="preserve">supervision (García-Llorente and Olmeda, 2026). A parallel line warns that machine-generated scores and disclosures</w:t>
      </w:r>
      <w:r>
        <w:t xml:space="preserve"> </w:t>
      </w:r>
      <w:r>
        <w:t xml:space="preserve">can mislead, from greenwashing in ESG scores (Kathan et al., 2025) to</w:t>
      </w:r>
      <w:r>
        <w:t xml:space="preserve"> </w:t>
      </w:r>
      <w:r>
        <w:t xml:space="preserve">“</w:t>
      </w:r>
      <w:r>
        <w:t xml:space="preserve">AI washing</w:t>
      </w:r>
      <w:r>
        <w:t xml:space="preserve">”</w:t>
      </w:r>
      <w:r>
        <w:t xml:space="preserve"> </w:t>
      </w:r>
      <w:r>
        <w:t xml:space="preserve">in corporate</w:t>
      </w:r>
      <w:r>
        <w:t xml:space="preserve"> </w:t>
      </w:r>
      <w:r>
        <w:t xml:space="preserve">disclosure (Song et al., 2026), while broader analyses consider AI’s systemic and macroeconomic</w:t>
      </w:r>
      <w:r>
        <w:t xml:space="preserve"> </w:t>
      </w:r>
      <w:r>
        <w:t xml:space="preserve">footprint, from agent-based market (in)stability (Llacay and Peffer, 2026) to the skill premium</w:t>
      </w:r>
      <w:r>
        <w:t xml:space="preserve"> </w:t>
      </w:r>
      <w:r>
        <w:t xml:space="preserve">(Bloom et al., 2025). Most closely, Hens and Nordlie (2025) compare the risk profiles LLMs produce for investors</w:t>
      </w:r>
      <w:r>
        <w:t xml:space="preserve"> </w:t>
      </w:r>
      <w:r>
        <w:t xml:space="preserve">with those of experienced bankers, finding relatively small differences in the levels of risk</w:t>
      </w:r>
      <w:r>
        <w:t xml:space="preserve"> </w:t>
      </w:r>
      <w:r>
        <w:t xml:space="preserve">assigned, although the models give weaker explanations. We examine a different dimension of</w:t>
      </w:r>
      <w:r>
        <w:t xml:space="preserve"> </w:t>
      </w:r>
      <w:r>
        <w:t xml:space="preserve">reliability—whether an LLM alters its credit assessment in response to economically irrelevant</w:t>
      </w:r>
      <w:r>
        <w:t xml:space="preserve"> </w:t>
      </w:r>
      <w:r>
        <w:t xml:space="preserve">changes in the macroeconomic context surrounding otherwise identical firm information.</w:t>
      </w:r>
    </w:p>
    <w:p>
      <w:pPr>
        <w:pStyle w:val="BodyText"/>
      </w:pPr>
      <w:r>
        <w:t xml:space="preserve">The third strand is the susceptibility of LLM outputs to framing and contextual information. Prior</w:t>
      </w:r>
      <w:r>
        <w:t xml:space="preserve"> </w:t>
      </w:r>
      <w:r>
        <w:t xml:space="preserve">work documents anchoring, framing effects, and imperfect calibration in language-model decisions</w:t>
      </w:r>
      <w:r>
        <w:t xml:space="preserve"> </w:t>
      </w:r>
      <w:r>
        <w:t xml:space="preserve">(Tversky and Kahneman, 1974; Tversky and Kahneman, 1981; Binz and Schulz, 2023; Kadavath et al., 2022), and shows that shared foundation models can</w:t>
      </w:r>
      <w:r>
        <w:t xml:space="preserve"> </w:t>
      </w:r>
      <w:r>
        <w:t xml:space="preserve">homogenise decisions across users (Bommasani et al., 2022). In our setting these behavioural properties</w:t>
      </w:r>
      <w:r>
        <w:t xml:space="preserve"> </w:t>
      </w:r>
      <w:r>
        <w:t xml:space="preserve">connect to a specific financial mechanism: if the macroeconomic context systematically affects credit</w:t>
      </w:r>
      <w:r>
        <w:t xml:space="preserve"> </w:t>
      </w:r>
      <w:r>
        <w:t xml:space="preserve">ratings even when the underlying firm fundamentals do not change, contextual sensitivity translates</w:t>
      </w:r>
      <w:r>
        <w:t xml:space="preserve"> </w:t>
      </w:r>
      <w:r>
        <w:t xml:space="preserve">directly into rating procyclicality.</w:t>
      </w:r>
    </w:p>
    <w:p>
      <w:pPr>
        <w:pStyle w:val="Heading1"/>
      </w:pPr>
      <w:bookmarkStart w:id="24" w:name="design-and-identification"/>
      <w:r>
        <w:t xml:space="preserve">Design and identification</w:t>
      </w:r>
      <w:bookmarkEnd w:id="24"/>
    </w:p>
    <w:p>
      <w:pPr>
        <w:pStyle w:val="FirstParagraph"/>
      </w:pPr>
      <w:r>
        <w:t xml:space="preserve">The unit of analysis is a rating cell</w:t>
      </w:r>
      <w:r>
        <w:t xml:space="preserve"> </w:t>
      </w:r>
      <m:oMath>
        <m:r>
          <m:t>=</m:t>
        </m:r>
      </m:oMath>
      <w:r>
        <w:t xml:space="preserve"> </w:t>
      </w:r>
      <w:r>
        <w:t xml:space="preserve">(model, prompt framing, seed, firm, macro state). We</w:t>
      </w:r>
      <w:r>
        <w:t xml:space="preserve"> </w:t>
      </w:r>
      <w:r>
        <w:t xml:space="preserve">construct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synthetic firms spanning five credit-quality tiers and eight sectors, and characterise</w:t>
      </w:r>
      <w:r>
        <w:t xml:space="preserve"> </w:t>
      </w:r>
      <w:r>
        <w:t xml:space="preserve">each firm using the same set of credit fundamentals: revenue growth, EBITDA margin, leverage, interest</w:t>
      </w:r>
      <w:r>
        <w:t xml:space="preserve"> </w:t>
      </w:r>
      <w:r>
        <w:t xml:space="preserve">coverage, free cash flow, liquidity, and Altman-style financial ratios (Altman, 1968). The</w:t>
      </w:r>
      <w:r>
        <w:t xml:space="preserve"> </w:t>
      </w:r>
      <w:r>
        <w:t xml:space="preserve">information about each firm presented to the models is the same in all experimental conditions; each</w:t>
      </w:r>
      <w:r>
        <w:t xml:space="preserve"> </w:t>
      </w:r>
      <w:r>
        <w:t xml:space="preserve">firm’s fundamentals are serialised once and reused byte-identically under every macro state. Following</w:t>
      </w:r>
      <w:r>
        <w:t xml:space="preserve"> </w:t>
      </w:r>
      <w:r>
        <w:t xml:space="preserve">this, we merely alter the model’s exposure to the macroeconomic environment by switching it between</w:t>
      </w:r>
      <w:r>
        <w:t xml:space="preserve"> </w:t>
      </w:r>
      <w:r>
        <w:t xml:space="preserve">five ordered states—boom, expansion, neutral, slowdown, and severe recession (severity</w:t>
      </w:r>
      <w:r>
        <w:t xml:space="preserve"> </w:t>
      </w:r>
      <m:oMath>
        <m:r>
          <m:t>−</m:t>
        </m:r>
        <m:r>
          <m:t>2</m:t>
        </m:r>
        <m:r>
          <m:t>…</m:t>
        </m:r>
        <m:r>
          <m:t>+</m:t>
        </m:r>
        <m:r>
          <m:t>2</m:t>
        </m:r>
      </m:oMath>
      <w:r>
        <w:t xml:space="preserve">). A common set of macroeconomic indicators is used to represent each state, including GDP</w:t>
      </w:r>
      <w:r>
        <w:t xml:space="preserve"> </w:t>
      </w:r>
      <w:r>
        <w:t xml:space="preserve">growth, unemployment, credit spreads, default rates, and lending standards. No calendar dates are</w:t>
      </w:r>
      <w:r>
        <w:t xml:space="preserve"> </w:t>
      </w:r>
      <w:r>
        <w:t xml:space="preserve">given, reducing the chance that a model associates a situation with a particular historical event.</w:t>
      </w:r>
    </w:p>
    <w:p>
      <w:pPr>
        <w:pStyle w:val="BodyText"/>
      </w:pPr>
      <w:r>
        <w:t xml:space="preserve">To strengthen identification, we add two controls. We first generate a matched placebo condition</w:t>
      </w:r>
      <w:r>
        <w:t xml:space="preserve"> </w:t>
      </w:r>
      <w:r>
        <w:t xml:space="preserve">carrying credit-irrelevant information about regional weather and traffic. The placebo has the same</w:t>
      </w:r>
      <w:r>
        <w:t xml:space="preserve"> </w:t>
      </w:r>
      <w:r>
        <w:t xml:space="preserve">format and a similar amount of numerical information as the macroeconomic scenarios but should not</w:t>
      </w:r>
      <w:r>
        <w:t xml:space="preserve"> </w:t>
      </w:r>
      <w:r>
        <w:t xml:space="preserve">affect a firm’s creditworthiness; it helps us differentiate macroeconomic sensitivity from a more</w:t>
      </w:r>
      <w:r>
        <w:t xml:space="preserve"> </w:t>
      </w:r>
      <w:r>
        <w:t xml:space="preserve">general tendency to respond to changing contextual information, and the net (macro minus placebo)</w:t>
      </w:r>
      <w:r>
        <w:t xml:space="preserve"> </w:t>
      </w:r>
      <w:r>
        <w:t xml:space="preserve">coefficient is the demand-effect-adjusted cyclicality. Second, we keep the same random seed for a</w:t>
      </w:r>
      <w:r>
        <w:t xml:space="preserve"> </w:t>
      </w:r>
      <w:r>
        <w:t xml:space="preserve">given firm and prompt framing across all macroeconomic states, so that sampling variation cannot be</w:t>
      </w:r>
      <w:r>
        <w:t xml:space="preserve"> </w:t>
      </w:r>
      <w:r>
        <w:t xml:space="preserve">misinterpreted as a cyclical effect. Each assessment produces a letter credit rating (mapped to an</w:t>
      </w:r>
      <w:r>
        <w:t xml:space="preserve"> </w:t>
      </w:r>
      <w:r>
        <w:t xml:space="preserve">S&amp;P notch on a 21-point scale) and a one-year probability of default (PD).</w:t>
      </w:r>
    </w:p>
    <w:p>
      <w:pPr>
        <w:pStyle w:val="BodyText"/>
      </w:pPr>
      <w:r>
        <w:t xml:space="preserve">We consider four prompt framings: a terse baseline, a point-in-time instruction, an explicit</w:t>
      </w:r>
      <w:r>
        <w:t xml:space="preserve"> </w:t>
      </w:r>
      <w:r>
        <w:t xml:space="preserve">through-the-cycle instruction, and a generic</w:t>
      </w:r>
      <w:r>
        <w:t xml:space="preserve"> </w:t>
      </w:r>
      <w:r>
        <w:t xml:space="preserve">“</w:t>
      </w:r>
      <w:r>
        <w:t xml:space="preserve">be stable</w:t>
      </w:r>
      <w:r>
        <w:t xml:space="preserve">”</w:t>
      </w:r>
      <w:r>
        <w:t xml:space="preserve"> </w:t>
      </w:r>
      <w:r>
        <w:t xml:space="preserve">instruction that makes no reference to the</w:t>
      </w:r>
      <w:r>
        <w:t xml:space="preserve"> </w:t>
      </w:r>
      <w:r>
        <w:t xml:space="preserve">credit cycle. The experiment uses five production-tier models from two families—three from OpenAI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gpt-4o-mini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gpt-4.1-mini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) and two Google Gemini Flash-tier models</w:t>
      </w:r>
      <w:r>
        <w:t xml:space="preserve"> </w:t>
      </w:r>
      <w:r>
        <w:t xml:space="preserve">accessed via the</w:t>
      </w:r>
      <w:r>
        <w:t xml:space="preserve"> </w:t>
      </w:r>
      <w:r>
        <w:rPr>
          <w:rStyle w:val="VerbatimChar"/>
        </w:rPr>
        <w:t xml:space="preserve">gemini-flash-latest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gemini-flash-lite-latest</w:t>
      </w:r>
      <w:r>
        <w:t xml:space="preserve"> </w:t>
      </w:r>
      <w:r>
        <w:t xml:space="preserve">aliases—all</w:t>
      </w:r>
      <w:r>
        <w:t xml:space="preserve"> </w:t>
      </w:r>
      <w:r>
        <w:t xml:space="preserve">queried in July 2026 with the served-model snapshot (</w:t>
      </w:r>
      <w:r>
        <w:rPr>
          <w:rStyle w:val="VerbatimChar"/>
        </w:rPr>
        <w:t xml:space="preserve">system_fingerprint</w:t>
      </w:r>
      <w:r>
        <w:t xml:space="preserve">) logged per call for</w:t>
      </w:r>
      <w:r>
        <w:t xml:space="preserve"> </w:t>
      </w:r>
      <w:r>
        <w:t xml:space="preserve">reproducibility. For each condition each model is run twice at temperature zero. Our main dependent</w:t>
      </w:r>
      <w:r>
        <w:t xml:space="preserve"> </w:t>
      </w:r>
      <w:r>
        <w:t xml:space="preserve">variable is the change in rating notch for a firm as macroeconomic severity increases, with a positive</w:t>
      </w:r>
      <w:r>
        <w:t xml:space="preserve"> </w:t>
      </w:r>
      <w:r>
        <w:t xml:space="preserve">coefficient implying greater procyclicality. We report average firm slopes and 95% confidence</w:t>
      </w:r>
      <w:r>
        <w:t xml:space="preserve"> </w:t>
      </w:r>
      <w:r>
        <w:t xml:space="preserve">intervals based on</w:t>
      </w:r>
      <w:r>
        <w:t xml:space="preserve"> </w:t>
      </w:r>
      <m:oMath>
        <m:r>
          <m:t>2</m:t>
        </m:r>
        <m:r>
          <m:t>,</m:t>
        </m:r>
        <m:r>
          <m:t>000</m:t>
        </m:r>
      </m:oMath>
      <w:r>
        <w:t xml:space="preserve"> </w:t>
      </w:r>
      <w:r>
        <w:t xml:space="preserve">firm-clustered, tier-stratified bootstrap draws. We also look at the total</w:t>
      </w:r>
      <w:r>
        <w:t xml:space="preserve"> </w:t>
      </w:r>
      <w:r>
        <w:t xml:space="preserve">boom-to-recession rating swing, the difference in downside and upside sensitivity, the Amato–Furfine</w:t>
      </w:r>
      <w:r>
        <w:t xml:space="preserve"> </w:t>
      </w:r>
      <w:r>
        <w:t xml:space="preserve">ordered-probit coefficient, and—for the OpenAI models—a continuous expected-notch slope from the</w:t>
      </w:r>
      <w:r>
        <w:t xml:space="preserve"> </w:t>
      </w:r>
      <w:r>
        <w:t xml:space="preserve">rating-token log-probabilities. The whole experiment yields</w:t>
      </w:r>
      <w:r>
        <w:t xml:space="preserve"> </w:t>
      </w:r>
      <m:oMath>
        <m:r>
          <m:t>32</m:t>
        </m:r>
        <m:r>
          <m:t>,</m:t>
        </m:r>
        <m:r>
          <m:t>000</m:t>
        </m:r>
      </m:oMath>
      <w:r>
        <w:t xml:space="preserve"> </w:t>
      </w:r>
      <w:r>
        <w:t xml:space="preserve">credit assessments for</w:t>
      </w:r>
      <w:r>
        <w:t xml:space="preserve"> </w:t>
      </w:r>
      <w:r>
        <w:t xml:space="preserve">US$</w:t>
      </w:r>
      <m:oMath>
        <m:r>
          <m:t>13.69</m:t>
        </m:r>
      </m:oMath>
      <w:r>
        <w:t xml:space="preserve">, with zero parse errors.</w:t>
      </w:r>
    </w:p>
    <w:p>
      <w:pPr>
        <w:pStyle w:val="Heading1"/>
      </w:pPr>
      <w:bookmarkStart w:id="25" w:name="results"/>
      <w:r>
        <w:t xml:space="preserve">Results</w:t>
      </w:r>
      <w:bookmarkEnd w:id="25"/>
    </w:p>
    <w:p>
      <w:pPr>
        <w:pStyle w:val="Heading2"/>
      </w:pPr>
      <w:bookmarkStart w:id="26" w:name="X5c78061b090828e861a5d045b7d287c68a5ba04"/>
      <w:r>
        <w:t xml:space="preserve">LLMs are procyclical on identical fundamentals</w:t>
      </w:r>
      <w:bookmarkEnd w:id="26"/>
    </w:p>
    <w:p>
      <w:pPr>
        <w:pStyle w:val="FirstParagraph"/>
      </w:pPr>
      <w:r>
        <w:t xml:space="preserve">On byte-identical fundamentals, all five models downgrade the same firms as the described macroeconomy</w:t>
      </w:r>
      <w:r>
        <w:t xml:space="preserve"> </w:t>
      </w:r>
      <w:r>
        <w:t xml:space="preserve">worsens (Table 1; Fig. 1a). Pooling across models under the terse</w:t>
      </w:r>
      <w:r>
        <w:t xml:space="preserve"> </w:t>
      </w:r>
      <w:r>
        <w:t xml:space="preserve">baseline, ratings fall by</w:t>
      </w:r>
      <w:r>
        <w:t xml:space="preserve"> </w:t>
      </w:r>
      <m:oMath>
        <m:r>
          <m:t>0.429</m:t>
        </m:r>
      </m:oMath>
      <w:r>
        <w:t xml:space="preserve"> </w:t>
      </w:r>
      <w:r>
        <w:t xml:space="preserve">notches per severity step (95% CI</w:t>
      </w:r>
      <w:r>
        <w:t xml:space="preserve"> </w:t>
      </w:r>
      <m:oMath>
        <m:r>
          <m:t>[</m:t>
        </m:r>
        <m:r>
          <m:t>0.41</m:t>
        </m:r>
        <m:r>
          <m:t>,</m:t>
        </m:r>
        <m:r>
          <m:t>0.45</m:t>
        </m:r>
        <m:r>
          <m:t>]</m:t>
        </m:r>
      </m:oMath>
      <w:r>
        <w:t xml:space="preserve">)—a</w:t>
      </w:r>
      <w:r>
        <w:t xml:space="preserve"> </w:t>
      </w:r>
      <m:oMath>
        <m:r>
          <m:t>1.76</m:t>
        </m:r>
      </m:oMath>
      <w:r>
        <w:t xml:space="preserve">-notch</w:t>
      </w:r>
      <w:r>
        <w:t xml:space="preserve"> </w:t>
      </w:r>
      <w:r>
        <w:t xml:space="preserve">swing from boom to severe recession, enough to move a BBB firm toward BB</w:t>
      </w:r>
      <m:oMath>
        <m:r>
          <m:t>+</m:t>
        </m:r>
      </m:oMath>
      <w:r>
        <w:t xml:space="preserve">/BB with nothing real</w:t>
      </w:r>
      <w:r>
        <w:t xml:space="preserve"> </w:t>
      </w:r>
      <w:r>
        <w:t xml:space="preserve">changing. The per-model coefficient ranges from</w:t>
      </w:r>
      <w:r>
        <w:t xml:space="preserve"> </w:t>
      </w:r>
      <m:oMath>
        <m:r>
          <m:t>0.230</m:t>
        </m:r>
      </m:oMath>
      <w:r>
        <w:t xml:space="preserve"> </w:t>
      </w:r>
      <w:r>
        <w:t xml:space="preserve">for Gemini Flash to</w:t>
      </w:r>
      <w:r>
        <w:t xml:space="preserve"> </w:t>
      </w:r>
      <m:oMath>
        <m:r>
          <m:t>0.775</m:t>
        </m:r>
      </m:oMath>
      <w:r>
        <w:t xml:space="preserve"> </w:t>
      </w:r>
      <w:r>
        <w:t xml:space="preserve">for GPT-4o-mini,</w:t>
      </w:r>
      <w:r>
        <w:t xml:space="preserve"> </w:t>
      </w:r>
      <w:r>
        <w:t xml:space="preserve">and no model’s confidence interval contains zero, so the choice of model is itself a first-order</w:t>
      </w:r>
      <w:r>
        <w:t xml:space="preserve"> </w:t>
      </w:r>
      <w:r>
        <w:t xml:space="preserve">determinant of procyclicality—a roughly threefold spread. Among the OpenAI models, GPT-4o is</w:t>
      </w:r>
      <w:r>
        <w:t xml:space="preserve"> </w:t>
      </w:r>
      <w:r>
        <w:t xml:space="preserve">markedly less sensitive than GPT-4o-mini, with slopes of</w:t>
      </w:r>
      <w:r>
        <w:t xml:space="preserve"> </w:t>
      </w:r>
      <m:oMath>
        <m:r>
          <m:t>0.387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0.775</m:t>
        </m:r>
      </m:oMath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The result is robust across several checks, detailed in Appendix Appendix A: the matched</w:t>
      </w:r>
      <w:r>
        <w:t xml:space="preserve"> </w:t>
      </w:r>
      <w:r>
        <w:t xml:space="preserve">credit-irrelevant placebo moves ratings only</w:t>
      </w:r>
      <w:r>
        <w:t xml:space="preserve"> </w:t>
      </w:r>
      <m:oMath>
        <m:r>
          <m:t>0.042</m:t>
        </m:r>
      </m:oMath>
      <w:r>
        <w:t xml:space="preserve"> </w:t>
      </w:r>
      <w:r>
        <w:t xml:space="preserve">notches per step, so the net macro-minus-placebo</w:t>
      </w:r>
      <w:r>
        <w:t xml:space="preserve"> </w:t>
      </w:r>
      <w:r>
        <w:t xml:space="preserve">effect is</w:t>
      </w:r>
      <w:r>
        <w:t xml:space="preserve"> </w:t>
      </w:r>
      <m:oMath>
        <m:r>
          <m:t>0.387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t>[</m:t>
        </m:r>
        <m:r>
          <m:t>0.36</m:t>
        </m:r>
        <m:r>
          <m:t>,</m:t>
        </m:r>
        <m:r>
          <m:t>0.41</m:t>
        </m:r>
        <m:r>
          <m:t>]</m:t>
        </m:r>
      </m:oMath>
      <w:r>
        <w:t xml:space="preserve">), still excluding zero, and the coefficient survives</w:t>
      </w:r>
      <w:r>
        <w:t xml:space="preserve"> </w:t>
      </w:r>
      <w:r>
        <w:t xml:space="preserve">served-model fixed effects, a rating-token log-probability estimator, and the Amato–Furfine</w:t>
      </w:r>
      <w:r>
        <w:t xml:space="preserve"> </w:t>
      </w:r>
      <w:r>
        <w:t xml:space="preserve">ordered-probit null (Table 3).</w:t>
      </w:r>
    </w:p>
    <w:p>
      <w:pPr>
        <w:pStyle w:val="BodyText"/>
      </w:pPr>
      <w:r>
        <w:t xml:space="preserve">The magnitudes are economically material. A pooled</w:t>
      </w:r>
      <w:r>
        <w:t xml:space="preserve"> </w:t>
      </w:r>
      <m:oMath>
        <m:r>
          <m:t>1.76</m:t>
        </m:r>
      </m:oMath>
      <w:r>
        <w:t xml:space="preserve">-notch swing means that a firm with unchanged</w:t>
      </w:r>
      <w:r>
        <w:t xml:space="preserve"> </w:t>
      </w:r>
      <w:r>
        <w:t xml:space="preserve">fundamentals—rated, say, A</w:t>
      </w:r>
      <m:oMath>
        <m:r>
          <m:t>−</m:t>
        </m:r>
      </m:oMath>
      <w:r>
        <w:t xml:space="preserve"> </w:t>
      </w:r>
      <w:r>
        <w:t xml:space="preserve">in a boom—can be rated near BBB in a severe recession purely because</w:t>
      </w:r>
      <w:r>
        <w:t xml:space="preserve"> </w:t>
      </w:r>
      <w:r>
        <w:t xml:space="preserve">of the macroeconomic environment in which the model is placed, and for the most sensitive model the</w:t>
      </w:r>
      <w:r>
        <w:t xml:space="preserve"> </w:t>
      </w:r>
      <w:r>
        <w:t xml:space="preserve">boom-to-recession swing exceeds three notches (Section 4.4).</w:t>
      </w:r>
    </w:p>
    <w:p>
      <w:pPr>
        <w:pStyle w:val="Heading2"/>
      </w:pPr>
      <w:bookmarkStart w:id="27" w:name="the-procyclicality-is-asymmetric"/>
      <w:r>
        <w:t xml:space="preserve">The procyclicality is asymmetric</w:t>
      </w:r>
      <w:bookmarkEnd w:id="27"/>
    </w:p>
    <w:p>
      <w:pPr>
        <w:pStyle w:val="FirstParagraph"/>
      </w:pPr>
      <w:r>
        <w:t xml:space="preserve">The response to macroeconomic conditions is highly asymmetric. Splitting the macro axis at neutral,</w:t>
      </w:r>
      <w:r>
        <w:t xml:space="preserve"> </w:t>
      </w:r>
      <w:r>
        <w:t xml:space="preserve">the pooled downside half-slope (neutral to severe recession) is</w:t>
      </w:r>
      <w:r>
        <w:t xml:space="preserve"> </w:t>
      </w:r>
      <m:oMath>
        <m:r>
          <m:t>0.67</m:t>
        </m:r>
      </m:oMath>
      <w:r>
        <w:t xml:space="preserve"> </w:t>
      </w:r>
      <w:r>
        <w:t xml:space="preserve">notches per step (95% CI</w:t>
      </w:r>
      <w:r>
        <w:t xml:space="preserve"> </w:t>
      </w:r>
      <m:oMath>
        <m:r>
          <m:t>[</m:t>
        </m:r>
        <m:r>
          <m:t>0.63</m:t>
        </m:r>
        <m:r>
          <m:t>,</m:t>
        </m:r>
        <m:r>
          <m:t>0.72</m:t>
        </m:r>
        <m:r>
          <m:t>]</m:t>
        </m:r>
      </m:oMath>
      <w:r>
        <w:t xml:space="preserve">) versus an upside half-slope (boom to neutral) of</w:t>
      </w:r>
      <w:r>
        <w:t xml:space="preserve"> </w:t>
      </w:r>
      <m:oMath>
        <m:r>
          <m:t>0.21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t>[</m:t>
        </m:r>
        <m:r>
          <m:t>0.18</m:t>
        </m:r>
        <m:r>
          <m:t>,</m:t>
        </m:r>
        <m:r>
          <m:t>0.24</m:t>
        </m:r>
        <m:r>
          <m:t>]</m:t>
        </m:r>
      </m:oMath>
      <w:r>
        <w:t xml:space="preserve">), so</w:t>
      </w:r>
      <w:r>
        <w:t xml:space="preserve"> </w:t>
      </w:r>
      <w:r>
        <w:t xml:space="preserve">downgrade sensitivity is about</w:t>
      </w:r>
      <w:r>
        <w:t xml:space="preserve"> </w:t>
      </w:r>
      <m:oMath>
        <m:r>
          <m:t>3.2</m:t>
        </m:r>
      </m:oMath>
      <w:r>
        <w:t xml:space="preserve"> </w:t>
      </w:r>
      <w:r>
        <w:t xml:space="preserve">times larger than upgrade sensitivity, a pattern seen in all five</w:t>
      </w:r>
      <w:r>
        <w:t xml:space="preserve"> </w:t>
      </w:r>
      <w:r>
        <w:t xml:space="preserve">models (Fig. 2). This asymmetry suggests that LLM ratings are</w:t>
      </w:r>
      <w:r>
        <w:t xml:space="preserve"> </w:t>
      </w:r>
      <w:r>
        <w:t xml:space="preserve">more sensitive to deteriorating than to improving conditions, and it matters because downgrades in</w:t>
      </w:r>
      <w:r>
        <w:t xml:space="preserve"> </w:t>
      </w:r>
      <w:r>
        <w:t xml:space="preserve">downturns raise borrowing costs and capital requirements exactly when financial conditions are already</w:t>
      </w:r>
      <w:r>
        <w:t xml:space="preserve"> </w:t>
      </w:r>
      <w:r>
        <w:t xml:space="preserve">under strain; it also echoes the stricter-in-downturns behaviour long attributed to human agencies</w:t>
      </w:r>
      <w:r>
        <w:t xml:space="preserve"> </w:t>
      </w:r>
      <w:r>
        <w:t xml:space="preserve">(Löffler, 2004). Because capital requirements are convex in the rating and bind hardest in stress,</w:t>
      </w:r>
      <w:r>
        <w:t xml:space="preserve"> </w:t>
      </w:r>
      <w:r>
        <w:t xml:space="preserve">an asymmetric downgrade profile is more procyclical than a symmetric one of equal average slope.</w:t>
      </w:r>
    </w:p>
    <w:p>
      <w:pPr>
        <w:pStyle w:val="Heading2"/>
      </w:pPr>
      <w:bookmarkStart w:id="28" w:name="X02c272d332154f52a03aad58cd4ad7bf5a3e34d"/>
      <w:r>
        <w:t xml:space="preserve">“</w:t>
      </w:r>
      <w:r>
        <w:t xml:space="preserve">Through-the-cycle</w:t>
      </w:r>
      <w:r>
        <w:t xml:space="preserve">”</w:t>
      </w:r>
      <w:r>
        <w:t xml:space="preserve"> </w:t>
      </w:r>
      <w:r>
        <w:t xml:space="preserve">instructions anchor rather than de-cyclify</w:t>
      </w:r>
      <w:bookmarkEnd w:id="28"/>
    </w:p>
    <w:p>
      <w:pPr>
        <w:pStyle w:val="FirstParagraph"/>
      </w:pPr>
      <w:r>
        <w:t xml:space="preserve">Prompt framing is a strong determinant of rating sensitivity: the estimated slope declines from</w:t>
      </w:r>
      <w:r>
        <w:t xml:space="preserve"> </w:t>
      </w:r>
      <m:oMath>
        <m:r>
          <m:t>0.516</m:t>
        </m:r>
      </m:oMath>
      <w:r>
        <w:t xml:space="preserve"> </w:t>
      </w:r>
      <w:r>
        <w:t xml:space="preserve">for the point-in-time instruction to</w:t>
      </w:r>
      <w:r>
        <w:t xml:space="preserve"> </w:t>
      </w:r>
      <m:oMath>
        <m:r>
          <m:t>0.429</m:t>
        </m:r>
      </m:oMath>
      <w:r>
        <w:t xml:space="preserve"> </w:t>
      </w:r>
      <w:r>
        <w:t xml:space="preserve">for the terse baseline,</w:t>
      </w:r>
      <w:r>
        <w:t xml:space="preserve"> </w:t>
      </w:r>
      <m:oMath>
        <m:r>
          <m:t>0.329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be</w:t>
      </w:r>
      <w:r>
        <w:t xml:space="preserve"> </w:t>
      </w:r>
      <w:r>
        <w:t xml:space="preserve">stable</w:t>
      </w:r>
      <w:r>
        <w:t xml:space="preserve">”</w:t>
      </w:r>
      <w:r>
        <w:t xml:space="preserve"> </w:t>
      </w:r>
      <w:r>
        <w:t xml:space="preserve">instruction, and</w:t>
      </w:r>
      <w:r>
        <w:t xml:space="preserve"> </w:t>
      </w:r>
      <m:oMath>
        <m:r>
          <m:t>0.160</m:t>
        </m:r>
      </m:oMath>
      <w:r>
        <w:t xml:space="preserve"> </w:t>
      </w:r>
      <w:r>
        <w:t xml:space="preserve">for the explicit through-the-cycle instruction (95% CI</w:t>
      </w:r>
      <w:r>
        <w:t xml:space="preserve"> </w:t>
      </w:r>
      <m:oMath>
        <m:r>
          <m:t>[</m:t>
        </m:r>
        <m:r>
          <m:t>0.14</m:t>
        </m:r>
        <m:r>
          <m:t>,</m:t>
        </m:r>
        <m:r>
          <m:t>0.18</m:t>
        </m:r>
        <m:r>
          <m:t>]</m:t>
        </m:r>
      </m:oMath>
      <w:r>
        <w:t xml:space="preserve">; terse-minus-TTC contrast</w:t>
      </w:r>
      <w:r>
        <w:t xml:space="preserve"> </w:t>
      </w:r>
      <m:oMath>
        <m:r>
          <m:t>0.269</m:t>
        </m:r>
      </m:oMath>
      <w:r>
        <w:t xml:space="preserve">). At first sight this suggests that through-the-cycle</w:t>
      </w:r>
      <w:r>
        <w:t xml:space="preserve"> </w:t>
      </w:r>
      <w:r>
        <w:t xml:space="preserve">prompting successfully reduces procyclicality. It does not. Genuine through-the-cycle behaviour is a</w:t>
      </w:r>
      <w:r>
        <w:t xml:space="preserve"> </w:t>
      </w:r>
      <w:r>
        <w:t xml:space="preserve">joint condition: the rating slope should fall toward zero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point-in-time default</w:t>
      </w:r>
      <w:r>
        <w:t xml:space="preserve"> </w:t>
      </w:r>
      <w:r>
        <w:t xml:space="preserve">probability should keep moving with the cycle. We measure the default probability on the log-odds</w:t>
      </w:r>
      <w:r>
        <w:t xml:space="preserve"> </w:t>
      </w:r>
      <w:r>
        <w:t xml:space="preserve">scale, so the comparison across framings is not driven by level differences and is robust to the</w:t>
      </w:r>
      <w:r>
        <w:t xml:space="preserve"> </w:t>
      </w:r>
      <w:r>
        <w:t xml:space="preserve">miscalibration of verbalised LLM probabilities (Kadavath et al., 2022; Kang and Liu, 2023). Pooled, the log-odds PD</w:t>
      </w:r>
      <w:r>
        <w:t xml:space="preserve"> </w:t>
      </w:r>
      <w:r>
        <w:t xml:space="preserve">slope falls from</w:t>
      </w:r>
      <w:r>
        <w:t xml:space="preserve"> </w:t>
      </w:r>
      <m:oMath>
        <m:r>
          <m:t>0.270</m:t>
        </m:r>
      </m:oMath>
      <w:r>
        <w:t xml:space="preserve"> </w:t>
      </w:r>
      <w:r>
        <w:t xml:space="preserve">under the terse prompt to</w:t>
      </w:r>
      <w:r>
        <w:t xml:space="preserve"> </w:t>
      </w:r>
      <m:oMath>
        <m:r>
          <m:t>0.102</m:t>
        </m:r>
      </m:oMath>
      <w:r>
        <w:t xml:space="preserve"> </w:t>
      </w:r>
      <w:r>
        <w:t xml:space="preserve">under the through-the-cycle</w:t>
      </w:r>
      <w:r>
        <w:t xml:space="preserve"> </w:t>
      </w:r>
      <w:r>
        <w:t xml:space="preserve">instruction—a retention of only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t>[</m:t>
        </m:r>
        <m:r>
          <m:t>0.35</m:t>
        </m:r>
        <m:r>
          <m:t>,</m:t>
        </m:r>
        <m:r>
          <m:t>0.40</m:t>
        </m:r>
        <m:r>
          <m:t>]</m:t>
        </m:r>
      </m:oMath>
      <w:r>
        <w:t xml:space="preserve">), far below the value near one that</w:t>
      </w:r>
      <w:r>
        <w:t xml:space="preserve"> </w:t>
      </w:r>
      <w:r>
        <w:t xml:space="preserve">genuine through-the-cycle behaviour requires, and the suppression is comparable on the downside and</w:t>
      </w:r>
      <w:r>
        <w:t xml:space="preserve"> </w:t>
      </w:r>
      <w:r>
        <w:t xml:space="preserve">upside (retention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0.38</m:t>
        </m:r>
      </m:oMath>
      <w:r>
        <w:t xml:space="preserve">). The instruction thus stabilises the rating but also suppresses</w:t>
      </w:r>
      <w:r>
        <w:t xml:space="preserve"> </w:t>
      </w:r>
      <w:r>
        <w:t xml:space="preserve">the default probability that should remain sensitive: it anchors the wrong object. By contrast, the</w:t>
      </w:r>
      <w:r>
        <w:t xml:space="preserve"> </w:t>
      </w:r>
      <w:r>
        <w:t xml:space="preserve">vaguer</w:t>
      </w:r>
      <w:r>
        <w:t xml:space="preserve"> </w:t>
      </w:r>
      <w:r>
        <w:t xml:space="preserve">“</w:t>
      </w:r>
      <w:r>
        <w:t xml:space="preserve">be stable</w:t>
      </w:r>
      <w:r>
        <w:t xml:space="preserve">”</w:t>
      </w:r>
      <w:r>
        <w:t xml:space="preserve"> </w:t>
      </w:r>
      <w:r>
        <w:t xml:space="preserve">instruction, which is not semantically about the cycle, preserves more</w:t>
      </w:r>
      <w:r>
        <w:t xml:space="preserve"> </w:t>
      </w:r>
      <w:r>
        <w:t xml:space="preserve">default-probability movement while still calming the rating. A residual downgrade survives</w:t>
      </w:r>
      <w:r>
        <w:t xml:space="preserve"> </w:t>
      </w:r>
      <w:r>
        <w:t xml:space="preserve">everywhere—up to</w:t>
      </w:r>
      <w:r>
        <w:t xml:space="preserve"> </w:t>
      </w:r>
      <m:oMath>
        <m:r>
          <m:t>1.60</m:t>
        </m:r>
      </m:oMath>
      <w:r>
        <w:t xml:space="preserve"> </w:t>
      </w:r>
      <w:r>
        <w:t xml:space="preserve">notches across the cycle for GPT-4o-mini.</w:t>
      </w:r>
    </w:p>
    <w:p>
      <w:pPr>
        <w:pStyle w:val="Heading2"/>
      </w:pPr>
      <w:bookmarkStart w:id="29" w:name="capital-consequences"/>
      <w:r>
        <w:t xml:space="preserve">Capital consequences</w:t>
      </w:r>
      <w:bookmarkEnd w:id="29"/>
    </w:p>
    <w:p>
      <w:pPr>
        <w:pStyle w:val="FirstParagraph"/>
      </w:pPr>
      <w:r>
        <w:t xml:space="preserve">The material question is not merely that the rating moves but what the movement costs. We translate</w:t>
      </w:r>
      <w:r>
        <w:t xml:space="preserve"> </w:t>
      </w:r>
      <w:r>
        <w:t xml:space="preserve">the rating path into capital by anchoring through the</w:t>
      </w:r>
      <w:r>
        <w:t xml:space="preserve"> </w:t>
      </w:r>
      <w:r>
        <w:rPr>
          <w:i/>
        </w:rPr>
        <w:t xml:space="preserve">rating</w:t>
      </w:r>
      <w:r>
        <w:t xml:space="preserve">—which is what enters a credit</w:t>
      </w:r>
      <w:r>
        <w:t xml:space="preserve"> </w:t>
      </w:r>
      <w:r>
        <w:t xml:space="preserve">pipeline—rather than the disclaimed verbalised PD: we map each notch to a stylised one-year default</w:t>
      </w:r>
      <w:r>
        <w:t xml:space="preserve"> </w:t>
      </w:r>
      <w:r>
        <w:t xml:space="preserve">probability calibrated to published agency average default rates, and apply the Basel</w:t>
      </w:r>
      <w:r>
        <w:t xml:space="preserve"> </w:t>
      </w:r>
      <w:r>
        <w:t xml:space="preserve">internal-ratings-based (IRB) corporate risk-weight formula as a stylised proxy for the core economic</w:t>
      </w:r>
      <w:r>
        <w:t xml:space="preserve"> </w:t>
      </w:r>
      <w:r>
        <w:t xml:space="preserve">logic (parameters and mapping in Appendix Appendix A). Holding fundamentals</w:t>
      </w:r>
      <w:r>
        <w:t xml:space="preserve"> </w:t>
      </w:r>
      <w:r>
        <w:t xml:space="preserve">fixed and reporting the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across the severity axis, an identical firm’s required capital</w:t>
      </w:r>
      <w:r>
        <w:t xml:space="preserve"> </w:t>
      </w:r>
      <w:r>
        <w:t xml:space="preserve">rises by a pooled</w:t>
      </w:r>
      <w:r>
        <w:t xml:space="preserve"> </w:t>
      </w:r>
      <m:oMath>
        <m:r>
          <m:t>1.87</m:t>
        </m:r>
      </m:oMath>
      <w:r>
        <w:t xml:space="preserve"> </w:t>
      </w:r>
      <w:r>
        <w:t xml:space="preserve">percentage points of exposure from boom to severe recession (95% CI</w:t>
      </w:r>
      <w:r>
        <w:t xml:space="preserve"> </w:t>
      </w:r>
      <m:oMath>
        <m:r>
          <m:t>[</m:t>
        </m:r>
        <m:r>
          <m:t>1.73</m:t>
        </m:r>
        <m:r>
          <m:t>,</m:t>
        </m:r>
        <m:r>
          <m:t>2.00</m:t>
        </m:r>
        <m:r>
          <m:t>]</m:t>
        </m:r>
      </m:oMath>
      <w:r>
        <w:t xml:space="preserve">), and by</w:t>
      </w:r>
      <w:r>
        <w:t xml:space="preserve"> </w:t>
      </w:r>
      <m:oMath>
        <m:r>
          <m:t>3.48</m:t>
        </m:r>
      </m:oMath>
      <w:r>
        <w:t xml:space="preserve"> </w:t>
      </w:r>
      <w:r>
        <w:t xml:space="preserve">pp for the most sensitive model; the verbalised-PD variant agrees in</w:t>
      </w:r>
      <w:r>
        <w:t xml:space="preserve"> </w:t>
      </w:r>
      <w:r>
        <w:t xml:space="preserve">direction (</w:t>
      </w:r>
      <m:oMath>
        <m:r>
          <m:t>2.92</m:t>
        </m:r>
      </m:oMath>
      <w:r>
        <w:t xml:space="preserve"> </w:t>
      </w:r>
      <w:r>
        <w:t xml:space="preserve">pp). Because the risk weight is convex in PD, the Section 4.2 asymmetry</w:t>
      </w:r>
      <w:r>
        <w:t xml:space="preserve"> </w:t>
      </w:r>
      <w:r>
        <w:t xml:space="preserve">compounds: the downside capital increase (neutral</w:t>
      </w:r>
      <m:oMath>
        <m:r>
          <m:t>→</m:t>
        </m:r>
      </m:oMath>
      <w:r>
        <w:t xml:space="preserve">recession,</w:t>
      </w:r>
      <w:r>
        <w:t xml:space="preserve"> </w:t>
      </w:r>
      <m:oMath>
        <m:r>
          <m:t>1.55</m:t>
        </m:r>
      </m:oMath>
      <w:r>
        <w:t xml:space="preserve"> </w:t>
      </w:r>
      <w:r>
        <w:t xml:space="preserve">pp) is about five times the</w:t>
      </w:r>
      <w:r>
        <w:t xml:space="preserve"> </w:t>
      </w:r>
      <w:r>
        <w:t xml:space="preserve">upside decrease (boom</w:t>
      </w:r>
      <m:oMath>
        <m:r>
          <m:t>→</m:t>
        </m:r>
      </m:oMath>
      <w:r>
        <w:t xml:space="preserve">neutral,</w:t>
      </w:r>
      <w:r>
        <w:t xml:space="preserve"> </w:t>
      </w:r>
      <m:oMath>
        <m:r>
          <m:t>0.32</m:t>
        </m:r>
      </m:oMath>
      <w:r>
        <w:t xml:space="preserve"> </w:t>
      </w:r>
      <w:r>
        <w:t xml:space="preserve">pp)—a wider gap than the notch asymmetry alone. These</w:t>
      </w:r>
      <w:r>
        <w:t xml:space="preserve"> </w:t>
      </w:r>
      <w:r>
        <w:t xml:space="preserve">findings imply that procyclical LLM ratings can have economically significant downstream consequences</w:t>
      </w:r>
      <w:r>
        <w:t xml:space="preserve"> </w:t>
      </w:r>
      <w:r>
        <w:t xml:space="preserve">even when the firm’s fundamentals do not change at all.</w:t>
      </w:r>
    </w:p>
    <w:p>
      <w:pPr>
        <w:pStyle w:val="Heading1"/>
      </w:pPr>
      <w:bookmarkStart w:id="30" w:name="conclusion"/>
      <w:r>
        <w:t xml:space="preserve">Conclusion</w:t>
      </w:r>
      <w:bookmarkEnd w:id="30"/>
    </w:p>
    <w:p>
      <w:pPr>
        <w:pStyle w:val="FirstParagraph"/>
      </w:pPr>
      <w:r>
        <w:t xml:space="preserve">Using a design in which fundamentals are fixed by construction, we provide a controlled measurement of</w:t>
      </w:r>
      <w:r>
        <w:t xml:space="preserve"> </w:t>
      </w:r>
      <w:r>
        <w:t xml:space="preserve">rating procyclicality in LLM-based credit assessment. All five models downgrade identical firms as</w:t>
      </w:r>
      <w:r>
        <w:t xml:space="preserve"> </w:t>
      </w:r>
      <w:r>
        <w:t xml:space="preserve">economic conditions are described as worsening, by economically meaningful and statistically robust</w:t>
      </w:r>
      <w:r>
        <w:t xml:space="preserve"> </w:t>
      </w:r>
      <w:r>
        <w:t xml:space="preserve">margins, and they do so asymmetrically—punishing simulated downturns far more than they reward</w:t>
      </w:r>
      <w:r>
        <w:t xml:space="preserve"> </w:t>
      </w:r>
      <w:r>
        <w:t xml:space="preserve">simulated expansions. The magnitude is a first-order function of model identity, so in a deployed</w:t>
      </w:r>
      <w:r>
        <w:t xml:space="preserve"> </w:t>
      </w:r>
      <w:r>
        <w:t xml:space="preserve">pipeline the choice of model is itself a prudential decision.</w:t>
      </w:r>
    </w:p>
    <w:p>
      <w:pPr>
        <w:pStyle w:val="BodyText"/>
      </w:pPr>
      <w:r>
        <w:t xml:space="preserve">Prompt design mitigates this behaviour only partially. An explicit instruction to rate through the</w:t>
      </w:r>
      <w:r>
        <w:t xml:space="preserve"> </w:t>
      </w:r>
      <w:r>
        <w:t xml:space="preserve">cycle reduces rating sensitivity, but it also diminishes the responsiveness of the one-year default</w:t>
      </w:r>
      <w:r>
        <w:t xml:space="preserve"> </w:t>
      </w:r>
      <w:r>
        <w:t xml:space="preserve">probability; the models appear to stabilise both outputs rather than separating a through-the-cycle</w:t>
      </w:r>
      <w:r>
        <w:t xml:space="preserve"> </w:t>
      </w:r>
      <w:r>
        <w:t xml:space="preserve">rating from point-in-time default risk. Translating the rating changes into capital requirements</w:t>
      </w:r>
      <w:r>
        <w:t xml:space="preserve"> </w:t>
      </w:r>
      <w:r>
        <w:t xml:space="preserve">produces economically meaningful swings even when the underlying firm fundamentals have not changed.</w:t>
      </w:r>
    </w:p>
    <w:p>
      <w:pPr>
        <w:pStyle w:val="BodyText"/>
      </w:pPr>
      <w:r>
        <w:t xml:space="preserve">The synthetic firm battery is intentional. The experiment is built for identification, not to capture</w:t>
      </w:r>
      <w:r>
        <w:t xml:space="preserve"> </w:t>
      </w:r>
      <w:r>
        <w:t xml:space="preserve">the full complexity of real borrowers—yet varying the macroeconomic context around fixed firm</w:t>
      </w:r>
      <w:r>
        <w:t xml:space="preserve"> </w:t>
      </w:r>
      <w:r>
        <w:t xml:space="preserve">information captures an exposure that arises in real-world LLM credit pipelines, where models may</w:t>
      </w:r>
      <w:r>
        <w:t xml:space="preserve"> </w:t>
      </w:r>
      <w:r>
        <w:t xml:space="preserve">access macroeconomic information through market data, news, retrieval systems, or analyst inputs. The</w:t>
      </w:r>
      <w:r>
        <w:t xml:space="preserve"> </w:t>
      </w:r>
      <w:r>
        <w:t xml:space="preserve">results should therefore be read as evidence for a specific behavioural mechanism rather than an</w:t>
      </w:r>
      <w:r>
        <w:t xml:space="preserve"> </w:t>
      </w:r>
      <w:r>
        <w:t xml:space="preserve">evaluation of deployed credit systems. We study a synthetic firm battery, five production-tier models</w:t>
      </w:r>
      <w:r>
        <w:t xml:space="preserve"> </w:t>
      </w:r>
      <w:r>
        <w:t xml:space="preserve">from two families, and prompt-level interventions; future work could benchmark LLM behaviour against</w:t>
      </w:r>
      <w:r>
        <w:t xml:space="preserve"> </w:t>
      </w:r>
      <w:r>
        <w:t xml:space="preserve">agency and internal-rating baselines and explore whether fine-tuning, retrieval design, or other</w:t>
      </w:r>
      <w:r>
        <w:t xml:space="preserve"> </w:t>
      </w:r>
      <w:r>
        <w:t xml:space="preserve">model-level interventions can reduce procyclicality without suppressing genuine changes in credit risk.</w:t>
      </w:r>
    </w:p>
    <w:p>
      <w:pPr>
        <w:pStyle w:val="TableCaption"/>
      </w:pPr>
      <w:r>
        <w:t xml:space="preserve">Per-model rating procyclicality on byte-identical fundamentals.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notches of downgrade per +1 macro-severity step (terse framing); firm-clustered bootstrap 95% CIs. Swing = boom</w:t>
      </w:r>
      <m:oMath>
        <m:r>
          <m:t>→</m:t>
        </m:r>
      </m:oMath>
      <w:r>
        <w:t xml:space="preserve">severe-recession notches. Asymmetry = downside (into recession) vs upside (into boom) half-slopes. Residual =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after the through-the-cycle instruction; PD-ret. = PD-slope retention under that instruction.</w:t>
      </w:r>
    </w:p>
    <w:tbl>
      <w:tblPr>
        <w:tblStyle w:val="Table"/>
        <w:tblW w:type="pct" w:w="0.0"/>
        <w:tblLook w:firstRow="1"/>
        <w:tblCaption w:val="Per-model rating procyclicality on byte-identical fundamentals. \beta = notches of downgrade per +1 macro-severity step (terse framing); firm-clustered bootstrap 95% CIs. Swing = boom\tosevere-recession notches. Asymmetry = downside (into recession) vs upside (into boom) half-slopes. Residual = \beta after the through-the-cycle instruction; PD-ret. = PD-slope retention under that instruc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β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Swing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D:U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Resid.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PD-ret.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Flash</w:t>
            </w:r>
          </w:p>
        </w:tc>
        <w:tc>
          <w:p>
            <w:pPr>
              <w:pStyle w:val="Compact"/>
              <w:jc w:val="right"/>
            </w:pPr>
            <w:r>
              <w:t xml:space="preserve">0.230</w:t>
            </w:r>
          </w:p>
        </w:tc>
        <w:tc>
          <w:p>
            <w:pPr>
              <w:pStyle w:val="Compact"/>
              <w:jc w:val="right"/>
            </w:pPr>
            <w:r>
              <w:t xml:space="preserve">[0.19, 0.27]</w:t>
            </w:r>
          </w:p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Flash-Lite</w:t>
            </w:r>
          </w:p>
        </w:tc>
        <w:tc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p>
            <w:pPr>
              <w:pStyle w:val="Compact"/>
              <w:jc w:val="right"/>
            </w:pPr>
            <w:r>
              <w:t xml:space="preserve">[0.25, 0.32]</w:t>
            </w:r>
          </w:p>
        </w:tc>
        <w:tc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p>
            <w:pPr>
              <w:pStyle w:val="Compact"/>
              <w:jc w:val="right"/>
            </w:pPr>
            <w:r>
              <w:t xml:space="preserve">0.34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p>
            <w:pPr>
              <w:pStyle w:val="Compact"/>
              <w:jc w:val="right"/>
            </w:pPr>
            <w:r>
              <w:t xml:space="preserve">[0.41, 0.53]</w:t>
            </w:r>
          </w:p>
        </w:tc>
        <w:tc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p>
            <w:pPr>
              <w:pStyle w:val="Compact"/>
              <w:jc w:val="right"/>
            </w:pPr>
            <w:r>
              <w:t xml:space="preserve">[0.34, 0.43]</w:t>
            </w:r>
          </w:p>
        </w:tc>
        <w:tc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right"/>
            </w:pPr>
            <w:r>
              <w:t xml:space="preserve">0.775</w:t>
            </w:r>
          </w:p>
        </w:tc>
        <w:tc>
          <w:p>
            <w:pPr>
              <w:pStyle w:val="Compact"/>
              <w:jc w:val="right"/>
            </w:pPr>
            <w:r>
              <w:t xml:space="preserve">[0.69, 0.86]</w:t>
            </w:r>
          </w:p>
        </w:tc>
        <w:tc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p>
            <w:pPr>
              <w:pStyle w:val="Compact"/>
              <w:jc w:val="right"/>
            </w:pPr>
            <w:r>
              <w:t xml:space="preserve">0.59</w:t>
            </w:r>
          </w:p>
        </w:tc>
      </w:tr>
    </w:tbl>
    <w:p>
      <w:pPr>
        <w:pStyle w:val="TableCaption"/>
      </w:pPr>
      <w:r>
        <w:t xml:space="preserve">Pooled procyclicality by prompt framing (across five models), notches per severity step with firm-clustered bootstrap 95% CIs.</w:t>
      </w:r>
    </w:p>
    <w:tbl>
      <w:tblPr>
        <w:tblStyle w:val="Table"/>
        <w:tblW w:type="pct" w:w="0.0"/>
        <w:tblLook w:firstRow="1"/>
        <w:tblCaption w:val="Pooled procyclicality by prompt framing (across five models), notches per severity step with firm-clustered bootstrap 95% CI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Pooled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Excl. 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Point-in-time</w:t>
            </w:r>
          </w:p>
        </w:tc>
        <w:tc>
          <w:p>
            <w:pPr>
              <w:pStyle w:val="Compact"/>
              <w:jc w:val="right"/>
            </w:pPr>
            <w:r>
              <w:t xml:space="preserve">0.516</w:t>
            </w:r>
          </w:p>
        </w:tc>
        <w:tc>
          <w:p>
            <w:pPr>
              <w:pStyle w:val="Compact"/>
              <w:jc w:val="right"/>
            </w:pPr>
            <w:r>
              <w:t xml:space="preserve">[0.49, 0.54]</w:t>
            </w:r>
          </w:p>
        </w:tc>
        <w:tc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Terse</w:t>
            </w:r>
          </w:p>
        </w:tc>
        <w:tc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p>
            <w:pPr>
              <w:pStyle w:val="Compact"/>
              <w:jc w:val="right"/>
            </w:pPr>
            <w:r>
              <w:t xml:space="preserve">[0.41, 0.45]</w:t>
            </w:r>
          </w:p>
        </w:tc>
        <w:tc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"Be stable"</w:t>
            </w:r>
          </w:p>
        </w:tc>
        <w:tc>
          <w:p>
            <w:pPr>
              <w:pStyle w:val="Compact"/>
              <w:jc w:val="right"/>
            </w:pPr>
            <w:r>
              <w:t xml:space="preserve">0.329</w:t>
            </w:r>
          </w:p>
        </w:tc>
        <w:tc>
          <w:p>
            <w:pPr>
              <w:pStyle w:val="Compact"/>
              <w:jc w:val="right"/>
            </w:pPr>
            <w:r>
              <w:t xml:space="preserve">[0.30, 0.35]</w:t>
            </w:r>
          </w:p>
        </w:tc>
        <w:tc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Through-the-cycle</w:t>
            </w:r>
          </w:p>
        </w:tc>
        <w:tc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p>
            <w:pPr>
              <w:pStyle w:val="Compact"/>
              <w:jc w:val="right"/>
            </w:pPr>
            <w:r>
              <w:t xml:space="preserve">[0.14, 0.18]</w:t>
            </w:r>
          </w:p>
        </w:tc>
        <w:tc>
          <w:p>
            <w:pPr>
              <w:pStyle w:val="Compact"/>
              <w:jc w:val="right"/>
            </w:pPr>
            <w:r>
              <w:t xml:space="preserve">True</w:t>
            </w:r>
          </w:p>
        </w:tc>
      </w:tr>
    </w:tbl>
    <w:p>
      <w:pPr>
        <w:pStyle w:val="CaptionedFigure"/>
      </w:pPr>
      <w:r>
        <w:drawing>
          <wp:inline>
            <wp:extent cx="5334000" cy="2326611"/>
            <wp:effectExtent b="0" l="0" r="0" t="0"/>
            <wp:docPr descr="(a) Per-model procyclicality \beta under the terse framing with 95% CIs; the dashed line marks the through-the-cycle null (\beta=0). (b) Pooled \beta across the four prompt framings (point-in-time \to terse \to “be stable” \to through-the-cycle) with 95% CIs." title="" id="1" name="Picture"/>
            <a:graphic>
              <a:graphicData uri="http://schemas.openxmlformats.org/drawingml/2006/picture">
                <pic:pic>
                  <pic:nvPicPr>
                    <pic:cNvPr descr="Figure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Per-model procyclicality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under the terse framing with 95% CIs; the dashed</w:t>
      </w:r>
      <w:r>
        <w:t xml:space="preserve"> </w:t>
      </w:r>
      <w:r>
        <w:t xml:space="preserve">line marks the through-the-cycle null (</w:t>
      </w:r>
      <m:oMath>
        <m:r>
          <m:t>β</m:t>
        </m:r>
        <m:r>
          <m:t>=</m:t>
        </m:r>
        <m:r>
          <m:t>0</m:t>
        </m:r>
      </m:oMath>
      <w:r>
        <w:t xml:space="preserve">). (b) Pooled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across the four prompt framings</w:t>
      </w:r>
      <w:r>
        <w:t xml:space="preserve"> </w:t>
      </w:r>
      <w:r>
        <w:t xml:space="preserve">(point-in-time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terse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“</w:t>
      </w:r>
      <w:r>
        <w:t xml:space="preserve">be stable</w:t>
      </w:r>
      <w:r>
        <w:t xml:space="preserve">”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through-the-cycle) with 95% CIs.</w:t>
      </w:r>
    </w:p>
    <w:p>
      <w:pPr>
        <w:pStyle w:val="CaptionedFigure"/>
      </w:pPr>
      <w:r>
        <w:drawing>
          <wp:inline>
            <wp:extent cx="5334000" cy="2631158"/>
            <wp:effectExtent b="0" l="0" r="0" t="0"/>
            <wp:docPr descr="Asymmetry: per-model downside half-slope (neutral\tosevere recession) versus upside half-slope (boom\toneutral), terse framing. Every model downgrades far faster into recessions than it upgrades into booms." title="" id="1" name="Picture"/>
            <a:graphic>
              <a:graphicData uri="http://schemas.openxmlformats.org/drawingml/2006/picture">
                <pic:pic>
                  <pic:nvPicPr>
                    <pic:cNvPr descr="Figure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Asymmetry: per-model downside half-slope (neutral</w:t>
      </w:r>
      <m:oMath>
        <m:r>
          <m:t>→</m:t>
        </m:r>
      </m:oMath>
      <w:r>
        <w:t xml:space="preserve">severe recession) versus upside</w:t>
      </w:r>
      <w:r>
        <w:t xml:space="preserve"> </w:t>
      </w:r>
      <w:r>
        <w:t xml:space="preserve">half-slope (boom</w:t>
      </w:r>
      <m:oMath>
        <m:r>
          <m:t>→</m:t>
        </m:r>
      </m:oMath>
      <w:r>
        <w:t xml:space="preserve">neutral), terse framing. Every model downgrades far faster into recessions</w:t>
      </w:r>
      <w:r>
        <w:t xml:space="preserve"> </w:t>
      </w:r>
      <w:r>
        <w:t xml:space="preserve">than it upgrades into booms.</w:t>
      </w:r>
    </w:p>
    <w:p>
      <w:pPr>
        <w:pStyle w:val="Heading1"/>
      </w:pPr>
      <w:bookmarkStart w:id="33" w:name="X1f74eb43af444059c7518034463b6c89b1cacf4"/>
      <w:r>
        <w:t xml:space="preserve">Declaration of generative AI and AI-assisted technologies in the manuscript preparation process</w:t>
      </w:r>
      <w:bookmarkEnd w:id="33"/>
    </w:p>
    <w:p>
      <w:pPr>
        <w:pStyle w:val="FirstParagraph"/>
      </w:pPr>
      <w:r>
        <w:t xml:space="preserve">During the preparation of this work the authors used Claude (Anthropic) to assist in implementing the</w:t>
      </w:r>
      <w:r>
        <w:t xml:space="preserve"> </w:t>
      </w:r>
      <w:r>
        <w:t xml:space="preserve">data-capture and analysis pipeline and in drafting and editing the manuscript text. The large language</w:t>
      </w:r>
      <w:r>
        <w:t xml:space="preserve"> </w:t>
      </w:r>
      <w:r>
        <w:t xml:space="preserve">models evaluated in this study—three OpenAI models and two Google Gemini models—constitute the</w:t>
      </w:r>
      <w:r>
        <w:t xml:space="preserve"> </w:t>
      </w:r>
      <w:r>
        <w:t xml:space="preserve">object of study of this paper, and their use is fully described in Section 3; they are</w:t>
      </w:r>
      <w:r>
        <w:t xml:space="preserve"> </w:t>
      </w:r>
      <w:r>
        <w:t xml:space="preserve">not tools of manuscript preparation. All AI-assisted content was carefully reviewed, edited, and</w:t>
      </w:r>
      <w:r>
        <w:t xml:space="preserve"> </w:t>
      </w:r>
      <w:r>
        <w:t xml:space="preserve">verified by the authors, who take full responsibility for the content of the published article.</w:t>
      </w:r>
    </w:p>
    <w:p>
      <w:pPr>
        <w:pStyle w:val="Heading1"/>
      </w:pPr>
      <w:bookmarkStart w:id="34" w:name="declaration-of-competing-interest"/>
      <w:r>
        <w:t xml:space="preserve">Declaration of competing interest</w:t>
      </w:r>
      <w:bookmarkEnd w:id="34"/>
    </w:p>
    <w:p>
      <w:pPr>
        <w:pStyle w:val="FirstParagraph"/>
      </w:pPr>
      <w:r>
        <w:t xml:space="preserve">The authors declare that they have no known competing financial interests or personal relationships</w:t>
      </w:r>
      <w:r>
        <w:t xml:space="preserve"> </w:t>
      </w:r>
      <w:r>
        <w:t xml:space="preserve">that could have appeared to influence the work reported in this paper.</w:t>
      </w:r>
    </w:p>
    <w:p>
      <w:pPr>
        <w:pStyle w:val="Heading1"/>
      </w:pPr>
      <w:bookmarkStart w:id="35" w:name="funding"/>
      <w:r>
        <w:t xml:space="preserve">Funding</w:t>
      </w:r>
      <w:bookmarkEnd w:id="35"/>
    </w:p>
    <w:p>
      <w:pPr>
        <w:pStyle w:val="FirstParagraph"/>
      </w:pPr>
      <w:r>
        <w:t xml:space="preserve">This research did not receive any specific grant from funding agencies in the public, commercial, or</w:t>
      </w:r>
      <w:r>
        <w:t xml:space="preserve"> </w:t>
      </w:r>
      <w:r>
        <w:t xml:space="preserve">not-for-profit sectors.</w:t>
      </w:r>
    </w:p>
    <w:p>
      <w:pPr>
        <w:pStyle w:val="Heading1"/>
      </w:pPr>
      <w:bookmarkStart w:id="36" w:name="data-availability"/>
      <w:r>
        <w:t xml:space="preserve">Data availability</w:t>
      </w:r>
      <w:bookmarkEnd w:id="36"/>
    </w:p>
    <w:p>
      <w:pPr>
        <w:pStyle w:val="FirstParagraph"/>
      </w:pPr>
      <w:r>
        <w:t xml:space="preserve">All data and code are openly available at</w:t>
      </w:r>
      <w:r>
        <w:t xml:space="preserve"> </w:t>
      </w:r>
      <w:hyperlink r:id="rId37">
        <w:r>
          <w:rPr>
            <w:rStyle w:val="Hyperlink"/>
          </w:rPr>
          <w:t xml:space="preserve">https://github.com/samirrc2/Does-AI-rate-through-the-cycle---Procyclicality-in-credit-assessment</w:t>
        </w:r>
      </w:hyperlink>
      <w:r>
        <w:t xml:space="preserve">; a citable Zenodo archive</w:t>
      </w:r>
      <w:r>
        <w:t xml:space="preserve"> </w:t>
      </w:r>
      <w:r>
        <w:t xml:space="preserve">accompanies the published version. Reproduction is offline, deterministic and free</w:t>
      </w:r>
      <w:r>
        <w:t xml:space="preserve"> </w:t>
      </w:r>
      <w:r>
        <w:t xml:space="preserve">(Chincholikar and Chawla, 2026).</w:t>
      </w:r>
    </w:p>
    <w:p>
      <w:pPr>
        <w:pStyle w:val="Heading1"/>
      </w:pPr>
      <w:bookmarkStart w:id="38" w:name="appendix-a.-robustness"/>
      <w:r>
        <w:t xml:space="preserve">Appendix A. Robustness</w:t>
      </w:r>
      <w:bookmarkEnd w:id="38"/>
    </w:p>
    <w:p>
      <w:pPr>
        <w:pStyle w:val="TableCaption"/>
      </w:pPr>
      <w:r>
        <w:t xml:space="preserve">Robustness of the terse-framing coefficient: placebo-adjusted (net), log-probability expected-notch (OpenAI only), within-cell seed noise floor, and the Amato–Furfine ordered-probit estimate.</w:t>
      </w:r>
    </w:p>
    <w:tbl>
      <w:tblPr>
        <w:tblStyle w:val="Table"/>
        <w:tblW w:type="pct" w:w="0.0"/>
        <w:tblLook w:firstRow="1"/>
        <w:tblCaption w:val="Robustness of the terse-framing coefficient: placebo-adjusted (net), log-probability expected-notch (OpenAI only), within-cell seed noise floor, and the Amato–Furfine ordered-probit estimat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β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Exp-notch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Noise 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Probit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Flash</w:t>
            </w:r>
          </w:p>
        </w:tc>
        <w:tc>
          <w:p>
            <w:pPr>
              <w:pStyle w:val="Compact"/>
              <w:jc w:val="right"/>
            </w:pPr>
            <w:r>
              <w:t xml:space="preserve">0.230</w:t>
            </w:r>
          </w:p>
        </w:tc>
        <w:tc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p>
            <w:pPr>
              <w:pStyle w:val="Compact"/>
              <w:jc w:val="right"/>
            </w:pPr>
            <w:r>
              <w:t xml:space="preserve">0.272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Flash-Lite</w:t>
            </w:r>
          </w:p>
        </w:tc>
        <w:tc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GPT-4.1-mini</w:t>
            </w:r>
          </w:p>
        </w:tc>
        <w:tc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p>
            <w:pPr>
              <w:pStyle w:val="Compact"/>
              <w:jc w:val="right"/>
            </w:pPr>
            <w:r>
              <w:t xml:space="preserve">0.307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p>
            <w:pPr>
              <w:pStyle w:val="Compact"/>
              <w:jc w:val="right"/>
            </w:pPr>
            <w:r>
              <w:t xml:space="preserve">0.378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right"/>
            </w:pPr>
            <w:r>
              <w:t xml:space="preserve">0.775</w:t>
            </w:r>
          </w:p>
        </w:tc>
        <w:tc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p>
            <w:pPr>
              <w:pStyle w:val="Compact"/>
              <w:jc w:val="right"/>
            </w:pPr>
            <w:r>
              <w:t xml:space="preserve">0.765</w:t>
            </w:r>
          </w:p>
        </w:tc>
        <w:tc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p>
            <w:pPr>
              <w:pStyle w:val="Compact"/>
              <w:jc w:val="right"/>
            </w:pPr>
            <w:r>
              <w:t xml:space="preserve">0.726</w:t>
            </w:r>
          </w:p>
        </w:tc>
      </w:tr>
    </w:tbl>
    <w:p>
      <w:pPr>
        <w:pStyle w:val="BodyText"/>
      </w:pPr>
      <w:r>
        <w:rPr>
          <w:i/>
        </w:rPr>
        <w:t xml:space="preserve">Placebo.</w:t>
      </w:r>
      <w:r>
        <w:t xml:space="preserve"> </w:t>
      </w:r>
      <w:r>
        <w:t xml:space="preserve">Under the matched credit-irrelevant placebo axis, ratings shift by only</w:t>
      </w:r>
      <w:r>
        <w:t xml:space="preserve"> </w:t>
      </w:r>
      <m:oMath>
        <m:r>
          <m:t>0.042</m:t>
        </m:r>
      </m:oMath>
      <w:r>
        <w:t xml:space="preserve"> </w:t>
      </w:r>
      <w:r>
        <w:t xml:space="preserve">notches</w:t>
      </w:r>
      <w:r>
        <w:t xml:space="preserve"> </w:t>
      </w:r>
      <w:r>
        <w:t xml:space="preserve">per step, so the net (macro minus placebo) effect is</w:t>
      </w:r>
      <w:r>
        <w:t xml:space="preserve"> </w:t>
      </w:r>
      <m:oMath>
        <m:r>
          <m:t>0.387</m:t>
        </m:r>
      </m:oMath>
      <w:r>
        <w:t xml:space="preserve"> </w:t>
      </w:r>
      <w:r>
        <w:t xml:space="preserve">notches per step (95% CI</w:t>
      </w:r>
      <w:r>
        <w:t xml:space="preserve"> </w:t>
      </w:r>
      <m:oMath>
        <m:r>
          <m:t>[</m:t>
        </m:r>
        <m:r>
          <m:t>0.36</m:t>
        </m:r>
        <m:r>
          <m:t>,</m:t>
        </m:r>
        <m:r>
          <m:t>0.41</m:t>
        </m:r>
        <m:r>
          <m:t>]</m:t>
        </m:r>
      </m:oMath>
      <w:r>
        <w:t xml:space="preserve">).</w:t>
      </w:r>
      <w:r>
        <w:t xml:space="preserve"> </w:t>
      </w:r>
      <w:r>
        <w:rPr>
          <w:i/>
        </w:rPr>
        <w:t xml:space="preserve">Infrastructure.</w:t>
      </w:r>
      <w:r>
        <w:t xml:space="preserve"> </w:t>
      </w:r>
      <w:r>
        <w:t xml:space="preserve">Adding served-model (</w:t>
      </w:r>
      <w:r>
        <w:rPr>
          <w:rStyle w:val="VerbatimChar"/>
        </w:rPr>
        <w:t xml:space="preserve">system_fingerprint</w:t>
      </w:r>
      <w:r>
        <w:t xml:space="preserve">) fixed effects shifts the</w:t>
      </w:r>
      <w:r>
        <w:t xml:space="preserve"> </w:t>
      </w:r>
      <w:r>
        <w:t xml:space="preserve">terse coefficient by</w:t>
      </w:r>
      <w:r>
        <w:t xml:space="preserve"> </w:t>
      </w:r>
      <m:oMath>
        <m:r>
          <m:t>&lt;</m:t>
        </m:r>
        <m:r>
          <m:t>0.003</m:t>
        </m:r>
      </m:oMath>
      <w:r>
        <w:t xml:space="preserve"> </w:t>
      </w:r>
      <w:r>
        <w:t xml:space="preserve">for every OpenAI model; a within-cell seed noise floor confirms the</w:t>
      </w:r>
      <w:r>
        <w:t xml:space="preserve"> </w:t>
      </w:r>
      <w:r>
        <w:t xml:space="preserve">signal exceeds residual non-determinism.</w:t>
      </w:r>
      <w:r>
        <w:t xml:space="preserve"> </w:t>
      </w:r>
      <w:r>
        <w:rPr>
          <w:i/>
        </w:rPr>
        <w:t xml:space="preserve">Parsing.</w:t>
      </w:r>
      <w:r>
        <w:t xml:space="preserve"> </w:t>
      </w:r>
      <w:r>
        <w:t xml:space="preserve">Every model parses at</w:t>
      </w:r>
      <w:r>
        <w:t xml:space="preserve"> </w:t>
      </w:r>
      <m:oMath>
        <m:r>
          <m:t>1.000</m:t>
        </m:r>
      </m:oMath>
      <w:r>
        <w:t xml:space="preserve">, with the most</w:t>
      </w:r>
      <w:r>
        <w:t xml:space="preserve"> </w:t>
      </w:r>
      <w:r>
        <w:t xml:space="preserve">cyclical model (GPT-4o-mini) among the cleanest, so the effect is not a censoring or parsing artefact.</w:t>
      </w:r>
      <w:r>
        <w:t xml:space="preserve"> </w:t>
      </w:r>
      <w:r>
        <w:rPr>
          <w:i/>
        </w:rPr>
        <w:t xml:space="preserve">Log-probabilities.</w:t>
      </w:r>
      <w:r>
        <w:t xml:space="preserve"> </w:t>
      </w:r>
      <w:r>
        <w:t xml:space="preserve">For the OpenAI models, a continuous expected-notch slope from the</w:t>
      </w:r>
      <w:r>
        <w:t xml:space="preserve"> </w:t>
      </w:r>
      <w:r>
        <w:t xml:space="preserve">rating-token log-probabilities reproduces the sampled estimate (e.g., GPT-4o-mini</w:t>
      </w:r>
      <w:r>
        <w:t xml:space="preserve"> </w:t>
      </w:r>
      <m:oMath>
        <m:r>
          <m:t>0.775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0.765</m:t>
        </m:r>
      </m:oMath>
      <w:r>
        <w:t xml:space="preserve">).</w:t>
      </w:r>
      <w:r>
        <w:t xml:space="preserve"> </w:t>
      </w:r>
      <w:r>
        <w:rPr>
          <w:i/>
        </w:rPr>
        <w:t xml:space="preserve">Ordered probit.</w:t>
      </w:r>
      <w:r>
        <w:t xml:space="preserve"> </w:t>
      </w:r>
      <w:r>
        <w:t xml:space="preserve">The Amato–Furfine null uses the firm mean notch as a Mundlak control and agrees</w:t>
      </w:r>
      <w:r>
        <w:t xml:space="preserve"> </w:t>
      </w:r>
      <w:r>
        <w:t xml:space="preserve">in sign throughout, of comparable magnitude, though the two estimators do not perfectly preserve the</w:t>
      </w:r>
      <w:r>
        <w:t xml:space="preserve"> </w:t>
      </w:r>
      <w:r>
        <w:t xml:space="preserve">cross-model rank order (Table 3).</w:t>
      </w:r>
      <w:r>
        <w:t xml:space="preserve"> </w:t>
      </w:r>
      <w:r>
        <w:rPr>
          <w:i/>
        </w:rPr>
        <w:t xml:space="preserve">Capital mapping.</w:t>
      </w:r>
      <w:r>
        <w:t xml:space="preserve"> </w:t>
      </w:r>
      <w:r>
        <w:t xml:space="preserve">The capital translation</w:t>
      </w:r>
      <w:r>
        <w:t xml:space="preserve"> </w:t>
      </w:r>
      <w:r>
        <w:t xml:space="preserve">(Section 4.4) maps each notch to a stylised one-year default probability (AAA</w:t>
      </w:r>
      <w:r>
        <w:t xml:space="preserve"> </w:t>
      </w:r>
      <m:oMath>
        <m:r>
          <m:t>≈</m:t>
        </m:r>
        <m:r>
          <m:t>0.01</m:t>
        </m:r>
        <m:r>
          <m:t>%</m:t>
        </m:r>
      </m:oMath>
      <w:r>
        <w:t xml:space="preserve">, BBB</w:t>
      </w:r>
      <w:r>
        <w:t xml:space="preserve"> </w:t>
      </w:r>
      <m:oMath>
        <m:r>
          <m:t>≈</m:t>
        </m:r>
        <m:r>
          <m:t>0.25</m:t>
        </m:r>
        <m:r>
          <m:t>%</m:t>
        </m:r>
      </m:oMath>
      <w:r>
        <w:t xml:space="preserve">, BB</w:t>
      </w:r>
      <w:r>
        <w:t xml:space="preserve"> </w:t>
      </w:r>
      <m:oMath>
        <m:r>
          <m:t>≈</m:t>
        </m:r>
        <m:r>
          <m:t>1.1</m:t>
        </m:r>
        <m:r>
          <m:t>%</m:t>
        </m:r>
      </m:oMath>
      <w:r>
        <w:t xml:space="preserve">, B</w:t>
      </w:r>
      <w:r>
        <w:t xml:space="preserve"> </w:t>
      </w:r>
      <m:oMath>
        <m:r>
          <m:t>≈</m:t>
        </m:r>
        <m:r>
          <m:t>5</m:t>
        </m:r>
        <m:r>
          <m:t>%</m:t>
        </m:r>
      </m:oMath>
      <w:r>
        <w:t xml:space="preserve">, CCC</w:t>
      </w:r>
      <w:r>
        <w:t xml:space="preserve"> </w:t>
      </w:r>
      <m:oMath>
        <m:r>
          <m:t>≈</m:t>
        </m:r>
        <m:r>
          <m:t>20</m:t>
        </m:r>
        <m:r>
          <m:t>%</m:t>
        </m:r>
      </m:oMath>
      <w:r>
        <w:t xml:space="preserve">; monotone across</w:t>
      </w:r>
      <w:r>
        <w:t xml:space="preserve"> </w:t>
      </w:r>
      <w:r>
        <w:t xml:space="preserve">the 21-notch scale, calibrated to published agency averages) and applies the Basel IRB corporate</w:t>
      </w:r>
      <w:r>
        <w:t xml:space="preserve"> </w:t>
      </w:r>
      <w:r>
        <w:t xml:space="preserve">formula (loss given default</w:t>
      </w:r>
      <w:r>
        <w:t xml:space="preserve"> </w:t>
      </w:r>
      <m:oMath>
        <m:r>
          <m:t>0.45</m:t>
        </m:r>
      </m:oMath>
      <w:r>
        <w:t xml:space="preserve">, maturity</w:t>
      </w:r>
      <w:r>
        <w:t xml:space="preserve"> </w:t>
      </w:r>
      <m:oMath>
        <m:r>
          <m:t>2.5</m:t>
        </m:r>
      </m:oMath>
      <w:r>
        <w:t xml:space="preserve">, the corporate asset-correlation function; no SME or</w:t>
      </w:r>
      <w:r>
        <w:t xml:space="preserve"> </w:t>
      </w:r>
      <w:r>
        <w:t xml:space="preserve">firm-size adjustment); the reported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in capital is robust to the exact mapping.</w:t>
      </w:r>
    </w:p>
    <w:p>
      <w:pPr>
        <w:pStyle w:val="Heading1"/>
      </w:pPr>
      <w:bookmarkStart w:id="39" w:name="appendix-b.-prompts"/>
      <w:r>
        <w:t xml:space="preserve">Appendix B. Prompts</w:t>
      </w:r>
      <w:bookmarkEnd w:id="39"/>
    </w:p>
    <w:p>
      <w:pPr>
        <w:pStyle w:val="FirstParagraph"/>
      </w:pPr>
      <w:r>
        <w:t xml:space="preserve">The prompt framings and the macro and placebo blocks below are extracted programmatically from the</w:t>
      </w:r>
      <w:r>
        <w:t xml:space="preserve"> </w:t>
      </w:r>
      <w:r>
        <w:t xml:space="preserve">capture code (</w:t>
      </w:r>
      <w:r>
        <w:rPr>
          <w:rStyle w:val="VerbatimChar"/>
        </w:rPr>
        <w:t xml:space="preserve">agent.py</w:t>
      </w:r>
      <w:r>
        <w:t xml:space="preserve">) and reproduce the executed instrument verbatim.</w:t>
      </w:r>
    </w:p>
    <w:p>
      <w:pPr>
        <w:pStyle w:val="Heading2"/>
      </w:pPr>
      <w:bookmarkStart w:id="40" w:name="prompt-framings"/>
      <w:r>
        <w:t xml:space="preserve">Prompt framings</w:t>
      </w:r>
      <w:bookmarkEnd w:id="40"/>
    </w:p>
    <w:p>
      <w:pPr>
        <w:pStyle w:val="FirstParagraph"/>
      </w:pPr>
      <w:r>
        <w:t xml:space="preserve">The four instruction framings (system prompt), verbatim as executed:</w:t>
      </w:r>
    </w:p>
    <w:p>
      <w:pPr>
        <w:pStyle w:val="Heading4"/>
      </w:pPr>
      <w:bookmarkStart w:id="41" w:name="v_terse"/>
      <w:r>
        <w:rPr>
          <w:rStyle w:val="VerbatimChar"/>
        </w:rPr>
        <w:t xml:space="preserve">v_terse</w:t>
      </w:r>
      <w:bookmarkEnd w:id="41"/>
    </w:p>
    <w:p>
      <w:pPr>
        <w:pStyle w:val="SourceCode"/>
      </w:pPr>
      <w:r>
        <w:rPr>
          <w:rStyle w:val="VerbatimChar"/>
        </w:rPr>
        <w:t xml:space="preserve">You are a credit rating analyst. Assign a long-term issuer credit rating to the company described, based on its fundamentals and the stated operating environment. Respond with ONLY a JSON object and nothing else, in exactly this form: {"rating": "&lt;one S&amp;P long-term issuer rating from AAA down to D, using +/- modifiers, e.g. AA-, BBB+, B&gt;", "pd_1yr_bps": &lt;your estimated 1-year probability of default in BASIS POINTS as an integer, where 100 bps = 1%&gt;, "rationale": "&lt;=30 words"}.</w:t>
      </w:r>
    </w:p>
    <w:p>
      <w:pPr>
        <w:pStyle w:val="Heading4"/>
      </w:pPr>
      <w:bookmarkStart w:id="42" w:name="v_ttc"/>
      <w:r>
        <w:rPr>
          <w:rStyle w:val="VerbatimChar"/>
        </w:rPr>
        <w:t xml:space="preserve">v_ttc</w:t>
      </w:r>
      <w:bookmarkEnd w:id="42"/>
    </w:p>
    <w:p>
      <w:pPr>
        <w:pStyle w:val="SourceCode"/>
      </w:pPr>
      <w:r>
        <w:rPr>
          <w:rStyle w:val="VerbatimChar"/>
        </w:rPr>
        <w:t xml:space="preserve">You are a credit rating analyst applying a THROUGH-THE-CYCLE methodology. Assign a long-term issuer credit rating that reflects the company's creditworthiness over a full economic cycle, deliberately LOOKING THROUGH transitory macroeconomic conditions rather than the current point in the cycle. Respond with ONLY a JSON object and nothing else, in exactly this form: {"rating": "&lt;one S&amp;P long-term issuer rating from AAA down to D, using +/- modifiers, e.g. AA-, BBB+, B&gt;", "pd_1yr_bps": &lt;your estimated 1-year probability of default in BASIS POINTS as an integer, where 100 bps = 1%&gt;, "rationale": "&lt;=30 words"}.</w:t>
      </w:r>
    </w:p>
    <w:p>
      <w:pPr>
        <w:pStyle w:val="Heading4"/>
      </w:pPr>
      <w:bookmarkStart w:id="43" w:name="v_pit"/>
      <w:r>
        <w:rPr>
          <w:rStyle w:val="VerbatimChar"/>
        </w:rPr>
        <w:t xml:space="preserve">v_pit</w:t>
      </w:r>
      <w:bookmarkEnd w:id="43"/>
    </w:p>
    <w:p>
      <w:pPr>
        <w:pStyle w:val="SourceCode"/>
      </w:pPr>
      <w:r>
        <w:rPr>
          <w:rStyle w:val="VerbatimChar"/>
        </w:rPr>
        <w:t xml:space="preserve">You are a credit rating analyst applying a POINT-IN-TIME methodology. Assign a long-term issuer credit rating that reflects the company's creditworthiness given CURRENT economic and financial conditions as described. Respond with ONLY a JSON object and nothing else, in exactly this form: {"rating": "&lt;one S&amp;P long-term issuer rating from AAA down to D, using +/- modifiers, e.g. AA-, BBB+, B&gt;", "pd_1yr_bps": &lt;your estimated 1-year probability of default in BASIS POINTS as an integer, where 100 bps = 1%&gt;, "rationale": "&lt;=30 words"}.</w:t>
      </w:r>
    </w:p>
    <w:p>
      <w:pPr>
        <w:pStyle w:val="Heading4"/>
      </w:pPr>
      <w:bookmarkStart w:id="44" w:name="v_stable"/>
      <w:r>
        <w:rPr>
          <w:rStyle w:val="VerbatimChar"/>
        </w:rPr>
        <w:t xml:space="preserve">v_stable</w:t>
      </w:r>
      <w:bookmarkEnd w:id="44"/>
    </w:p>
    <w:p>
      <w:pPr>
        <w:pStyle w:val="SourceCode"/>
      </w:pPr>
      <w:r>
        <w:rPr>
          <w:rStyle w:val="VerbatimChar"/>
        </w:rPr>
        <w:t xml:space="preserve">You are a credit rating analyst. Assign a long-term issuer credit rating that is STABLE and does not change much in response to short-term conditions. Respond with ONLY a JSON object and nothing else, in exactly this form: {"rating": "&lt;one S&amp;P long-term issuer rating from AAA down to D, using +/- modifiers, e.g. AA-, BBB+, B&gt;", "pd_1yr_bps": &lt;your estimated 1-year probability of default in BASIS POINTS as an integer, where 100 bps = 1%&gt;, "rationale": "&lt;=30 words"}.</w:t>
      </w:r>
    </w:p>
    <w:p>
      <w:pPr>
        <w:pStyle w:val="Heading2"/>
      </w:pPr>
      <w:bookmarkStart w:id="45" w:name="macro-environment-blocks"/>
      <w:r>
        <w:t xml:space="preserve">Macro-environment blocks</w:t>
      </w:r>
      <w:bookmarkEnd w:id="45"/>
    </w:p>
    <w:p>
      <w:pPr>
        <w:pStyle w:val="FirstParagraph"/>
      </w:pPr>
      <w:r>
        <w:t xml:space="preserve">Prepended to the byte-identical fundamentals; only these five blocks differ across the severity axis:</w:t>
      </w:r>
    </w:p>
    <w:p>
      <w:pPr>
        <w:pStyle w:val="Heading4"/>
      </w:pPr>
      <w:bookmarkStart w:id="46" w:name="boom"/>
      <w:r>
        <w:t xml:space="preserve">boom</w:t>
      </w:r>
      <w:bookmarkEnd w:id="46"/>
    </w:p>
    <w:p>
      <w:pPr>
        <w:pStyle w:val="SourceCode"/>
      </w:pPr>
      <w:r>
        <w:rPr>
          <w:rStyle w:val="VerbatimChar"/>
        </w:rPr>
        <w:t xml:space="preserve">MACRO ENVIRONMENT (current conditions, this fiscal period):</w:t>
      </w:r>
      <w:r>
        <w:br/>
      </w:r>
      <w:r>
        <w:rPr>
          <w:rStyle w:val="VerbatimChar"/>
        </w:rPr>
        <w:t xml:space="preserve">  - Real GDP growth (annualized): +4.5%</w:t>
      </w:r>
      <w:r>
        <w:br/>
      </w:r>
      <w:r>
        <w:rPr>
          <w:rStyle w:val="VerbatimChar"/>
        </w:rPr>
        <w:t xml:space="preserve">  - Unemployment rate: 3.4%</w:t>
      </w:r>
      <w:r>
        <w:br/>
      </w:r>
      <w:r>
        <w:rPr>
          <w:rStyle w:val="VerbatimChar"/>
        </w:rPr>
        <w:t xml:space="preserve">  - Investment-grade corporate credit spread: 95 bps</w:t>
      </w:r>
      <w:r>
        <w:br/>
      </w:r>
      <w:r>
        <w:rPr>
          <w:rStyle w:val="VerbatimChar"/>
        </w:rPr>
        <w:t xml:space="preserve">  - Trailing 12-month corporate default rate: 0.6%</w:t>
      </w:r>
      <w:r>
        <w:br/>
      </w:r>
      <w:r>
        <w:rPr>
          <w:rStyle w:val="VerbatimChar"/>
        </w:rPr>
        <w:t xml:space="preserve">  - Bank lending standards: easing broadly</w:t>
      </w:r>
    </w:p>
    <w:p>
      <w:pPr>
        <w:pStyle w:val="Heading4"/>
      </w:pPr>
      <w:bookmarkStart w:id="47" w:name="expansion"/>
      <w:r>
        <w:t xml:space="preserve">expansion</w:t>
      </w:r>
      <w:bookmarkEnd w:id="47"/>
    </w:p>
    <w:p>
      <w:pPr>
        <w:pStyle w:val="SourceCode"/>
      </w:pPr>
      <w:r>
        <w:rPr>
          <w:rStyle w:val="VerbatimChar"/>
        </w:rPr>
        <w:t xml:space="preserve">MACRO ENVIRONMENT (current conditions, this fiscal period):</w:t>
      </w:r>
      <w:r>
        <w:br/>
      </w:r>
      <w:r>
        <w:rPr>
          <w:rStyle w:val="VerbatimChar"/>
        </w:rPr>
        <w:t xml:space="preserve">  - Real GDP growth (annualized): +2.6%</w:t>
      </w:r>
      <w:r>
        <w:br/>
      </w:r>
      <w:r>
        <w:rPr>
          <w:rStyle w:val="VerbatimChar"/>
        </w:rPr>
        <w:t xml:space="preserve">  - Unemployment rate: 4.2%</w:t>
      </w:r>
      <w:r>
        <w:br/>
      </w:r>
      <w:r>
        <w:rPr>
          <w:rStyle w:val="VerbatimChar"/>
        </w:rPr>
        <w:t xml:space="preserve">  - Investment-grade corporate credit spread: 135 bps</w:t>
      </w:r>
      <w:r>
        <w:br/>
      </w:r>
      <w:r>
        <w:rPr>
          <w:rStyle w:val="VerbatimChar"/>
        </w:rPr>
        <w:t xml:space="preserve">  - Trailing 12-month corporate default rate: 1.4%</w:t>
      </w:r>
      <w:r>
        <w:br/>
      </w:r>
      <w:r>
        <w:rPr>
          <w:rStyle w:val="VerbatimChar"/>
        </w:rPr>
        <w:t xml:space="preserve">  - Bank lending standards: modestly easing</w:t>
      </w:r>
    </w:p>
    <w:p>
      <w:pPr>
        <w:pStyle w:val="Heading4"/>
      </w:pPr>
      <w:bookmarkStart w:id="48" w:name="neutral"/>
      <w:r>
        <w:t xml:space="preserve">neutral</w:t>
      </w:r>
      <w:bookmarkEnd w:id="48"/>
    </w:p>
    <w:p>
      <w:pPr>
        <w:pStyle w:val="SourceCode"/>
      </w:pPr>
      <w:r>
        <w:rPr>
          <w:rStyle w:val="VerbatimChar"/>
        </w:rPr>
        <w:t xml:space="preserve">MACRO ENVIRONMENT (current conditions, this fiscal period):</w:t>
      </w:r>
      <w:r>
        <w:br/>
      </w:r>
      <w:r>
        <w:rPr>
          <w:rStyle w:val="VerbatimChar"/>
        </w:rPr>
        <w:t xml:space="preserve">  - Real GDP growth (annualized): +1.8%</w:t>
      </w:r>
      <w:r>
        <w:br/>
      </w:r>
      <w:r>
        <w:rPr>
          <w:rStyle w:val="VerbatimChar"/>
        </w:rPr>
        <w:t xml:space="preserve">  - Unemployment rate: 5.0%</w:t>
      </w:r>
      <w:r>
        <w:br/>
      </w:r>
      <w:r>
        <w:rPr>
          <w:rStyle w:val="VerbatimChar"/>
        </w:rPr>
        <w:t xml:space="preserve">  - Investment-grade corporate credit spread: 175 bps</w:t>
      </w:r>
      <w:r>
        <w:br/>
      </w:r>
      <w:r>
        <w:rPr>
          <w:rStyle w:val="VerbatimChar"/>
        </w:rPr>
        <w:t xml:space="preserve">  - Trailing 12-month corporate default rate: 2.3%</w:t>
      </w:r>
      <w:r>
        <w:br/>
      </w:r>
      <w:r>
        <w:rPr>
          <w:rStyle w:val="VerbatimChar"/>
        </w:rPr>
        <w:t xml:space="preserve">  - Bank lending standards: unchanged</w:t>
      </w:r>
    </w:p>
    <w:p>
      <w:pPr>
        <w:pStyle w:val="Heading4"/>
      </w:pPr>
      <w:bookmarkStart w:id="49" w:name="slowdown"/>
      <w:r>
        <w:t xml:space="preserve">slowdown</w:t>
      </w:r>
      <w:bookmarkEnd w:id="49"/>
    </w:p>
    <w:p>
      <w:pPr>
        <w:pStyle w:val="SourceCode"/>
      </w:pPr>
      <w:r>
        <w:rPr>
          <w:rStyle w:val="VerbatimChar"/>
        </w:rPr>
        <w:t xml:space="preserve">MACRO ENVIRONMENT (current conditions, this fiscal period):</w:t>
      </w:r>
      <w:r>
        <w:br/>
      </w:r>
      <w:r>
        <w:rPr>
          <w:rStyle w:val="VerbatimChar"/>
        </w:rPr>
        <w:t xml:space="preserve">  - Real GDP growth (annualized): -0.8%</w:t>
      </w:r>
      <w:r>
        <w:br/>
      </w:r>
      <w:r>
        <w:rPr>
          <w:rStyle w:val="VerbatimChar"/>
        </w:rPr>
        <w:t xml:space="preserve">  - Unemployment rate: 6.4%</w:t>
      </w:r>
      <w:r>
        <w:br/>
      </w:r>
      <w:r>
        <w:rPr>
          <w:rStyle w:val="VerbatimChar"/>
        </w:rPr>
        <w:t xml:space="preserve">  - Investment-grade corporate credit spread: 320 bps</w:t>
      </w:r>
      <w:r>
        <w:br/>
      </w:r>
      <w:r>
        <w:rPr>
          <w:rStyle w:val="VerbatimChar"/>
        </w:rPr>
        <w:t xml:space="preserve">  - Trailing 12-month corporate default rate: 4.1%</w:t>
      </w:r>
      <w:r>
        <w:br/>
      </w:r>
      <w:r>
        <w:rPr>
          <w:rStyle w:val="VerbatimChar"/>
        </w:rPr>
        <w:t xml:space="preserve">  - Bank lending standards: tightening</w:t>
      </w:r>
    </w:p>
    <w:p>
      <w:pPr>
        <w:pStyle w:val="Heading4"/>
      </w:pPr>
      <w:bookmarkStart w:id="50" w:name="severe_recession"/>
      <w:r>
        <w:t xml:space="preserve">severe_recession</w:t>
      </w:r>
      <w:bookmarkEnd w:id="50"/>
    </w:p>
    <w:p>
      <w:pPr>
        <w:pStyle w:val="SourceCode"/>
      </w:pPr>
      <w:r>
        <w:rPr>
          <w:rStyle w:val="VerbatimChar"/>
        </w:rPr>
        <w:t xml:space="preserve">MACRO ENVIRONMENT (current conditions, this fiscal period):</w:t>
      </w:r>
      <w:r>
        <w:br/>
      </w:r>
      <w:r>
        <w:rPr>
          <w:rStyle w:val="VerbatimChar"/>
        </w:rPr>
        <w:t xml:space="preserve">  - Real GDP growth (annualized): -3.6%</w:t>
      </w:r>
      <w:r>
        <w:br/>
      </w:r>
      <w:r>
        <w:rPr>
          <w:rStyle w:val="VerbatimChar"/>
        </w:rPr>
        <w:t xml:space="preserve">  - Unemployment rate: 8.9%</w:t>
      </w:r>
      <w:r>
        <w:br/>
      </w:r>
      <w:r>
        <w:rPr>
          <w:rStyle w:val="VerbatimChar"/>
        </w:rPr>
        <w:t xml:space="preserve">  - Investment-grade corporate credit spread: 620 bps</w:t>
      </w:r>
      <w:r>
        <w:br/>
      </w:r>
      <w:r>
        <w:rPr>
          <w:rStyle w:val="VerbatimChar"/>
        </w:rPr>
        <w:t xml:space="preserve">  - Trailing 12-month corporate default rate: 7.5%</w:t>
      </w:r>
      <w:r>
        <w:br/>
      </w:r>
      <w:r>
        <w:rPr>
          <w:rStyle w:val="VerbatimChar"/>
        </w:rPr>
        <w:t xml:space="preserve">  - Bank lending standards: sharply tightening</w:t>
      </w:r>
    </w:p>
    <w:p>
      <w:pPr>
        <w:pStyle w:val="Heading2"/>
      </w:pPr>
      <w:bookmarkStart w:id="51" w:name="placebo-blocks-credit-irrelevant-control"/>
      <w:r>
        <w:t xml:space="preserve">Placebo blocks (credit-irrelevant control)</w:t>
      </w:r>
      <w:bookmarkEnd w:id="51"/>
    </w:p>
    <w:p>
      <w:pPr>
        <w:pStyle w:val="FirstParagraph"/>
      </w:pPr>
      <w:r>
        <w:t xml:space="preserve">Matched in structure and number density, on a credit-irrelevant axis:</w:t>
      </w:r>
    </w:p>
    <w:p>
      <w:pPr>
        <w:pStyle w:val="Heading4"/>
      </w:pPr>
      <w:bookmarkStart w:id="52" w:name="placebo_calm"/>
      <w:r>
        <w:t xml:space="preserve">placebo_calm</w:t>
      </w:r>
      <w:bookmarkEnd w:id="52"/>
    </w:p>
    <w:p>
      <w:pPr>
        <w:pStyle w:val="SourceCode"/>
      </w:pPr>
      <w:r>
        <w:rPr>
          <w:rStyle w:val="VerbatimChar"/>
        </w:rPr>
        <w:t xml:space="preserve">REGIONAL CONDITIONS (current, at the company's headquarters region):</w:t>
      </w:r>
      <w:r>
        <w:br/>
      </w:r>
      <w:r>
        <w:rPr>
          <w:rStyle w:val="VerbatimChar"/>
        </w:rPr>
        <w:t xml:space="preserve">  - Average temperature vs seasonal norm: +0.6 degC</w:t>
      </w:r>
      <w:r>
        <w:br/>
      </w:r>
      <w:r>
        <w:rPr>
          <w:rStyle w:val="VerbatimChar"/>
        </w:rPr>
        <w:t xml:space="preserve">  - Daylight hours vs annual mean: +4.5%</w:t>
      </w:r>
      <w:r>
        <w:br/>
      </w:r>
      <w:r>
        <w:rPr>
          <w:rStyle w:val="VerbatimChar"/>
        </w:rPr>
        <w:t xml:space="preserve">  - Monthly rainfall vs normal: 95 mm</w:t>
      </w:r>
      <w:r>
        <w:br/>
      </w:r>
      <w:r>
        <w:rPr>
          <w:rStyle w:val="VerbatimChar"/>
        </w:rPr>
        <w:t xml:space="preserve">  - Regional air-quality index: 38</w:t>
      </w:r>
      <w:r>
        <w:br/>
      </w:r>
      <w:r>
        <w:rPr>
          <w:rStyle w:val="VerbatimChar"/>
        </w:rPr>
        <w:t xml:space="preserve">  - Commuter traffic congestion: light</w:t>
      </w:r>
    </w:p>
    <w:p>
      <w:pPr>
        <w:pStyle w:val="Heading4"/>
      </w:pPr>
      <w:bookmarkStart w:id="53" w:name="placebo_mild"/>
      <w:r>
        <w:t xml:space="preserve">placebo_mild</w:t>
      </w:r>
      <w:bookmarkEnd w:id="53"/>
    </w:p>
    <w:p>
      <w:pPr>
        <w:pStyle w:val="SourceCode"/>
      </w:pPr>
      <w:r>
        <w:rPr>
          <w:rStyle w:val="VerbatimChar"/>
        </w:rPr>
        <w:t xml:space="preserve">REGIONAL CONDITIONS (current, at the company's headquarters region):</w:t>
      </w:r>
      <w:r>
        <w:br/>
      </w:r>
      <w:r>
        <w:rPr>
          <w:rStyle w:val="VerbatimChar"/>
        </w:rPr>
        <w:t xml:space="preserve">  - Average temperature vs seasonal norm: +0.2 degC</w:t>
      </w:r>
      <w:r>
        <w:br/>
      </w:r>
      <w:r>
        <w:rPr>
          <w:rStyle w:val="VerbatimChar"/>
        </w:rPr>
        <w:t xml:space="preserve">  - Daylight hours vs annual mean: +2.6%</w:t>
      </w:r>
      <w:r>
        <w:br/>
      </w:r>
      <w:r>
        <w:rPr>
          <w:rStyle w:val="VerbatimChar"/>
        </w:rPr>
        <w:t xml:space="preserve">  - Monthly rainfall vs normal: 135 mm</w:t>
      </w:r>
      <w:r>
        <w:br/>
      </w:r>
      <w:r>
        <w:rPr>
          <w:rStyle w:val="VerbatimChar"/>
        </w:rPr>
        <w:t xml:space="preserve">  - Regional air-quality index: 52</w:t>
      </w:r>
      <w:r>
        <w:br/>
      </w:r>
      <w:r>
        <w:rPr>
          <w:rStyle w:val="VerbatimChar"/>
        </w:rPr>
        <w:t xml:space="preserve">  - Commuter traffic congestion: moderate</w:t>
      </w:r>
    </w:p>
    <w:p>
      <w:pPr>
        <w:pStyle w:val="Heading4"/>
      </w:pPr>
      <w:bookmarkStart w:id="54" w:name="placebo_normal"/>
      <w:r>
        <w:t xml:space="preserve">placebo_normal</w:t>
      </w:r>
      <w:bookmarkEnd w:id="54"/>
    </w:p>
    <w:p>
      <w:pPr>
        <w:pStyle w:val="SourceCode"/>
      </w:pPr>
      <w:r>
        <w:rPr>
          <w:rStyle w:val="VerbatimChar"/>
        </w:rPr>
        <w:t xml:space="preserve">REGIONAL CONDITIONS (current, at the company's headquarters region):</w:t>
      </w:r>
      <w:r>
        <w:br/>
      </w:r>
      <w:r>
        <w:rPr>
          <w:rStyle w:val="VerbatimChar"/>
        </w:rPr>
        <w:t xml:space="preserve">  - Average temperature vs seasonal norm: 0.0 degC</w:t>
      </w:r>
      <w:r>
        <w:br/>
      </w:r>
      <w:r>
        <w:rPr>
          <w:rStyle w:val="VerbatimChar"/>
        </w:rPr>
        <w:t xml:space="preserve">  - Daylight hours vs annual mean: +1.8%</w:t>
      </w:r>
      <w:r>
        <w:br/>
      </w:r>
      <w:r>
        <w:rPr>
          <w:rStyle w:val="VerbatimChar"/>
        </w:rPr>
        <w:t xml:space="preserve">  - Monthly rainfall vs normal: 175 mm</w:t>
      </w:r>
      <w:r>
        <w:br/>
      </w:r>
      <w:r>
        <w:rPr>
          <w:rStyle w:val="VerbatimChar"/>
        </w:rPr>
        <w:t xml:space="preserve">  - Regional air-quality index: 60</w:t>
      </w:r>
      <w:r>
        <w:br/>
      </w:r>
      <w:r>
        <w:rPr>
          <w:rStyle w:val="VerbatimChar"/>
        </w:rPr>
        <w:t xml:space="preserve">  - Commuter traffic congestion: typical</w:t>
      </w:r>
    </w:p>
    <w:p>
      <w:pPr>
        <w:pStyle w:val="Heading4"/>
      </w:pPr>
      <w:bookmarkStart w:id="55" w:name="placebo_rough"/>
      <w:r>
        <w:t xml:space="preserve">placebo_rough</w:t>
      </w:r>
      <w:bookmarkEnd w:id="55"/>
    </w:p>
    <w:p>
      <w:pPr>
        <w:pStyle w:val="SourceCode"/>
      </w:pPr>
      <w:r>
        <w:rPr>
          <w:rStyle w:val="VerbatimChar"/>
        </w:rPr>
        <w:t xml:space="preserve">REGIONAL CONDITIONS (current, at the company's headquarters region):</w:t>
      </w:r>
      <w:r>
        <w:br/>
      </w:r>
      <w:r>
        <w:rPr>
          <w:rStyle w:val="VerbatimChar"/>
        </w:rPr>
        <w:t xml:space="preserve">  - Average temperature vs seasonal norm: -0.4 degC</w:t>
      </w:r>
      <w:r>
        <w:br/>
      </w:r>
      <w:r>
        <w:rPr>
          <w:rStyle w:val="VerbatimChar"/>
        </w:rPr>
        <w:t xml:space="preserve">  - Daylight hours vs annual mean: -0.8%</w:t>
      </w:r>
      <w:r>
        <w:br/>
      </w:r>
      <w:r>
        <w:rPr>
          <w:rStyle w:val="VerbatimChar"/>
        </w:rPr>
        <w:t xml:space="preserve">  - Monthly rainfall vs normal: 320 mm</w:t>
      </w:r>
      <w:r>
        <w:br/>
      </w:r>
      <w:r>
        <w:rPr>
          <w:rStyle w:val="VerbatimChar"/>
        </w:rPr>
        <w:t xml:space="preserve">  - Regional air-quality index: 88</w:t>
      </w:r>
      <w:r>
        <w:br/>
      </w:r>
      <w:r>
        <w:rPr>
          <w:rStyle w:val="VerbatimChar"/>
        </w:rPr>
        <w:t xml:space="preserve">  - Commuter traffic congestion: heavy</w:t>
      </w:r>
    </w:p>
    <w:p>
      <w:pPr>
        <w:pStyle w:val="Heading4"/>
      </w:pPr>
      <w:bookmarkStart w:id="56" w:name="placebo_storm"/>
      <w:r>
        <w:t xml:space="preserve">placebo_storm</w:t>
      </w:r>
      <w:bookmarkEnd w:id="56"/>
    </w:p>
    <w:p>
      <w:pPr>
        <w:pStyle w:val="SourceCode"/>
      </w:pPr>
      <w:r>
        <w:rPr>
          <w:rStyle w:val="VerbatimChar"/>
        </w:rPr>
        <w:t xml:space="preserve">REGIONAL CONDITIONS (current, at the company's headquarters region):</w:t>
      </w:r>
      <w:r>
        <w:br/>
      </w:r>
      <w:r>
        <w:rPr>
          <w:rStyle w:val="VerbatimChar"/>
        </w:rPr>
        <w:t xml:space="preserve">  - Average temperature vs seasonal norm: -1.1 degC</w:t>
      </w:r>
      <w:r>
        <w:br/>
      </w:r>
      <w:r>
        <w:rPr>
          <w:rStyle w:val="VerbatimChar"/>
        </w:rPr>
        <w:t xml:space="preserve">  - Daylight hours vs annual mean: -3.6%</w:t>
      </w:r>
      <w:r>
        <w:br/>
      </w:r>
      <w:r>
        <w:rPr>
          <w:rStyle w:val="VerbatimChar"/>
        </w:rPr>
        <w:t xml:space="preserve">  - Monthly rainfall vs normal: 620 mm</w:t>
      </w:r>
      <w:r>
        <w:br/>
      </w:r>
      <w:r>
        <w:rPr>
          <w:rStyle w:val="VerbatimChar"/>
        </w:rPr>
        <w:t xml:space="preserve">  - Regional air-quality index: 140</w:t>
      </w:r>
      <w:r>
        <w:br/>
      </w:r>
      <w:r>
        <w:rPr>
          <w:rStyle w:val="VerbatimChar"/>
        </w:rPr>
        <w:t xml:space="preserve">  - Commuter traffic congestion: severe</w:t>
      </w:r>
    </w:p>
    <w:p>
      <w:pPr>
        <w:pStyle w:val="Heading1"/>
      </w:pPr>
      <w:bookmarkStart w:id="57" w:name="credit-authorship-contribution-statement"/>
      <w:r>
        <w:t xml:space="preserve">CRediT authorship contribution statement</w:t>
      </w:r>
      <w:bookmarkEnd w:id="57"/>
    </w:p>
    <w:p>
      <w:pPr>
        <w:pStyle w:val="FirstParagraph"/>
      </w:pPr>
      <w:r>
        <w:rPr>
          <w:b/>
        </w:rPr>
        <w:t xml:space="preserve">Samir Chincholikar:</w:t>
      </w:r>
      <w:r>
        <w:t xml:space="preserve"> </w:t>
      </w:r>
      <w:r>
        <w:t xml:space="preserve">Conceptualization, Methodology, Software, Formal analysis, Writing – original draft.</w:t>
      </w:r>
      <w:r>
        <w:t xml:space="preserve"> </w:t>
      </w:r>
      <w:r>
        <w:rPr>
          <w:b/>
        </w:rPr>
        <w:t xml:space="preserve">Robin Chawla:</w:t>
      </w:r>
      <w:r>
        <w:t xml:space="preserve"> </w:t>
      </w:r>
      <w:r>
        <w:t xml:space="preserve">Conceptualization, Validation, Writing – review and editing, Supervision.</w:t>
      </w:r>
    </w:p>
    <w:p>
      <w:pPr>
        <w:pStyle w:val="Heading1"/>
      </w:pPr>
      <w:bookmarkStart w:id="58" w:name="references"/>
      <w:r>
        <w:t xml:space="preserve">References</w:t>
      </w:r>
      <w:bookmarkEnd w:id="58"/>
    </w:p>
    <w:p>
      <w:pPr>
        <w:numPr>
          <w:ilvl w:val="0"/>
          <w:numId w:val="1002"/>
        </w:numPr>
      </w:pPr>
      <w:r>
        <w:t xml:space="preserve">Aldasoro, I.n., Gambacorta, L., Korinek, A., Shreeti, V., Stein, M., 2024. Intelligent financial system: how AI is transforming finance. BIS Working Paper 1194. Bank for International Settlements.</w:t>
      </w:r>
    </w:p>
    <w:p>
      <w:pPr>
        <w:numPr>
          <w:ilvl w:val="0"/>
          <w:numId w:val="1002"/>
        </w:numPr>
      </w:pPr>
      <w:r>
        <w:t xml:space="preserve">Ali, H., Zafar, M.B., Aysan, A.F., 2025. Generative AI in finance: Replicability, methodological contingencies, and future research directions. Finance Research Letters 86, 108797. https://doi.org/10.1016/j.frl.2025.108797.</w:t>
      </w:r>
    </w:p>
    <w:p>
      <w:pPr>
        <w:numPr>
          <w:ilvl w:val="0"/>
          <w:numId w:val="1002"/>
        </w:numPr>
      </w:pPr>
      <w:r>
        <w:t xml:space="preserve">Altman, E.I., 1968. Financial ratios, discriminant analysis and the prediction of corporate bankruptcy. The Journal of Finance 23, 589–609. https://doi.org/10.1111/j.1540-6261.1968.tb00843.x.</w:t>
      </w:r>
    </w:p>
    <w:p>
      <w:pPr>
        <w:numPr>
          <w:ilvl w:val="0"/>
          <w:numId w:val="1002"/>
        </w:numPr>
      </w:pPr>
      <w:r>
        <w:t xml:space="preserve">Amato, J.D., Furfine, C.H., 2004. Are credit ratings procyclical? Journal of Banking &amp; Finance 28, 2641–2677. https://doi.org/10.1016/j.jbankfin.2004.06.005.</w:t>
      </w:r>
    </w:p>
    <w:p>
      <w:pPr>
        <w:numPr>
          <w:ilvl w:val="0"/>
          <w:numId w:val="1002"/>
        </w:numPr>
      </w:pPr>
      <w:r>
        <w:t xml:space="preserve">Binz, M., Schulz, E., 2023. Using cognitive psychology to understand GPT-3. Proceedings of the National Academy of Sciences 120, e2218523120. https://doi.org/10.1073/pnas.2218523120.</w:t>
      </w:r>
    </w:p>
    <w:p>
      <w:pPr>
        <w:numPr>
          <w:ilvl w:val="0"/>
          <w:numId w:val="1002"/>
        </w:numPr>
      </w:pPr>
      <w:r>
        <w:t xml:space="preserve">Bloom, D.E., Prettner, K., Saadaoui, J., Veruete, M., 2025. Artificial intelligence and the skill premium. Finance Research Letters 81, 107401. https://doi.org/10.1016/j.frl.2025.107401.</w:t>
      </w:r>
    </w:p>
    <w:p>
      <w:pPr>
        <w:numPr>
          <w:ilvl w:val="0"/>
          <w:numId w:val="1002"/>
        </w:numPr>
      </w:pPr>
      <w:r>
        <w:t xml:space="preserve">Bommasani, R., Creel, K.A., Bansal, A., Guha, S., Liang, P., 2022. Picking on the same person: Does algorithmic monoculture lead to outcome homogenization?, in: Advances in Neural Information Processing Systems (NeurIPS).</w:t>
      </w:r>
    </w:p>
    <w:p>
      <w:pPr>
        <w:numPr>
          <w:ilvl w:val="0"/>
          <w:numId w:val="1002"/>
        </w:numPr>
      </w:pPr>
      <w:r>
        <w:t xml:space="preserve">Cantor, R., Packer, F., 1996. Determinants and impact of sovereign credit ratings. Federal Reserve Bank of New York Economic Policy Review 2, 37–53.</w:t>
      </w:r>
    </w:p>
    <w:p>
      <w:pPr>
        <w:numPr>
          <w:ilvl w:val="0"/>
          <w:numId w:val="1002"/>
        </w:numPr>
      </w:pPr>
      <w:r>
        <w:t xml:space="preserve">Chincholikar, S., Chawla, R., 2026. Does AI rate through the cycle? — reproducibility artifact. GitHub: https://github.com/samirrc2/Does-AI-rate-through-the-cycle—Procyclicality-in-credit-assessment. A citable Zenodo archive accompanies the published version.</w:t>
      </w:r>
    </w:p>
    <w:p>
      <w:pPr>
        <w:numPr>
          <w:ilvl w:val="0"/>
          <w:numId w:val="1002"/>
        </w:numPr>
      </w:pPr>
      <w:r>
        <w:t xml:space="preserve">Fieberg, C., Hornuf, L., Meiler, M., Streich, D.J., 2025. Using large language models for financial advice. CESifo Working Paper 11666. CESifo.</w:t>
      </w:r>
    </w:p>
    <w:p>
      <w:pPr>
        <w:numPr>
          <w:ilvl w:val="0"/>
          <w:numId w:val="1002"/>
        </w:numPr>
      </w:pPr>
      <w:r>
        <w:t xml:space="preserve">García-Llorente, C., Olmeda, I., 2026. Large language models for banking supervision: reliability evidence from european systemic banks. Finance Research Letters 108, 110440. https://doi.org/10.1016/j.frl.2026.110440.</w:t>
      </w:r>
    </w:p>
    <w:p>
      <w:pPr>
        <w:numPr>
          <w:ilvl w:val="0"/>
          <w:numId w:val="1002"/>
        </w:numPr>
      </w:pPr>
      <w:r>
        <w:t xml:space="preserve">Giaretta, E., Zen, F., 2026. Artificial intelligence startups and financial conditions: Evidence from Italy. Finance Research Letters 92, 109584. https://doi.org/10.1016/j.frl.2026.109584.</w:t>
      </w:r>
    </w:p>
    <w:p>
      <w:pPr>
        <w:numPr>
          <w:ilvl w:val="0"/>
          <w:numId w:val="1002"/>
        </w:numPr>
      </w:pPr>
      <w:r>
        <w:t xml:space="preserve">Gordy, M.B., Howells, B., 2006. Procyclicality in Basel II: Can we treat the disease without killing the patient? Journal of Financial Intermediation 15, 395–417. https://doi.org/10.1016/j.jfi.2005.12.002.</w:t>
      </w:r>
    </w:p>
    <w:p>
      <w:pPr>
        <w:numPr>
          <w:ilvl w:val="0"/>
          <w:numId w:val="1002"/>
        </w:numPr>
      </w:pPr>
      <w:r>
        <w:t xml:space="preserve">Graham, J.R., Harvey, C.R., Jha, M., 2026. CFOs meet LLMs. arXiv preprint arXiv:2606.13812. https://doi.org/10.48550/arXiv.2606.13812.</w:t>
      </w:r>
    </w:p>
    <w:p>
      <w:pPr>
        <w:numPr>
          <w:ilvl w:val="0"/>
          <w:numId w:val="1002"/>
        </w:numPr>
      </w:pPr>
      <w:r>
        <w:t xml:space="preserve">Hens, T., Nordlie, T., 2025. How good are LLMs in risk profiling? Finance Research Letters 85, 108102. https://doi.org/10.1016/j.frl.2025.108102.</w:t>
      </w:r>
    </w:p>
    <w:p>
      <w:pPr>
        <w:numPr>
          <w:ilvl w:val="0"/>
          <w:numId w:val="1002"/>
        </w:numPr>
      </w:pPr>
      <w:r>
        <w:t xml:space="preserve">Horton, J.J., 2023. Large language models as simulated economic agents: What can we learn from homo silicus? NBER Working Paper 31122. National Bureau of Economic Research. https://doi.org/10.3386/w31122.</w:t>
      </w:r>
    </w:p>
    <w:p>
      <w:pPr>
        <w:numPr>
          <w:ilvl w:val="0"/>
          <w:numId w:val="1002"/>
        </w:numPr>
      </w:pPr>
      <w:r>
        <w:t xml:space="preserve">Ito, A., Sato, M., Ota, R., 2025. A novel content-based approach to measuring monetary policy uncertainty using fine-tuned LLMs. Finance Research Letters 75, 106832. https://doi.org/10.1016/j.frl.2025.106832.</w:t>
      </w:r>
    </w:p>
    <w:p>
      <w:pPr>
        <w:numPr>
          <w:ilvl w:val="0"/>
          <w:numId w:val="1002"/>
        </w:numPr>
      </w:pPr>
      <w:r>
        <w:t xml:space="preserve">Kadavath, S., Conerly, T., Askell, A., et al., 2022. Language models (mostly) know what they know. arXiv preprint arXiv:2207.05221. https://doi.org/10.48550/arXiv.2207.05221.</w:t>
      </w:r>
    </w:p>
    <w:p>
      <w:pPr>
        <w:numPr>
          <w:ilvl w:val="0"/>
          <w:numId w:val="1002"/>
        </w:numPr>
      </w:pPr>
      <w:r>
        <w:t xml:space="preserve">Kang, H., Liu, X.Y., 2023. Deficiency of large language models in finance: An empirical examination of hallucination. arXiv preprint arXiv:2311.15548. https://doi.org/10.48550/arXiv.2311.15548.</w:t>
      </w:r>
    </w:p>
    <w:p>
      <w:pPr>
        <w:numPr>
          <w:ilvl w:val="0"/>
          <w:numId w:val="1002"/>
        </w:numPr>
      </w:pPr>
      <w:r>
        <w:t xml:space="preserve">Kashyap, A.K., Stein, J.C., 2004. Cyclical implications of the Basel II capital standards. Economic Perspectives (Federal Reserve Bank of Chicago) 28, 18–31.</w:t>
      </w:r>
    </w:p>
    <w:p>
      <w:pPr>
        <w:numPr>
          <w:ilvl w:val="0"/>
          <w:numId w:val="1002"/>
        </w:numPr>
      </w:pPr>
      <w:r>
        <w:t xml:space="preserve">Kathan, M.C., Utz, S., Dorfleitner, G., Eckberg, J., Chmel, L., 2025. What you see is not what you get: ESG scores and greenwashing risk. Finance Research Letters 74, 106710. https://doi.org/10.1016/j.frl.2024.106710.</w:t>
      </w:r>
    </w:p>
    <w:p>
      <w:pPr>
        <w:numPr>
          <w:ilvl w:val="0"/>
          <w:numId w:val="1002"/>
        </w:numPr>
      </w:pPr>
      <w:r>
        <w:t xml:space="preserve">Kim, A., Muhn, M., Nikolaev, V.V., 2024. Financial statement analysis with large language models. arXiv preprint arXiv:2407.17866. https://doi.org/10.48550/arXiv.2407.17866.</w:t>
      </w:r>
    </w:p>
    <w:p>
      <w:pPr>
        <w:numPr>
          <w:ilvl w:val="0"/>
          <w:numId w:val="1002"/>
        </w:numPr>
      </w:pPr>
      <w:r>
        <w:t xml:space="preserve">Kirschbaum, L., Keiper, M., Mölders, M., Zülch, H., 2026. Amplifying noise or delivering alpha? Performance evaluation of finfluencer stock recommendations. Finance Research Letters 103, 110150. https://doi.org/10.1016/j.frl.2026.110150.</w:t>
      </w:r>
    </w:p>
    <w:p>
      <w:pPr>
        <w:numPr>
          <w:ilvl w:val="0"/>
          <w:numId w:val="1002"/>
        </w:numPr>
      </w:pPr>
      <w:r>
        <w:t xml:space="preserve">Llacay, B., Peffer, G., 2026. From value-at-risk to expected shortfall: An agent-based analysis of market stability. Finance Research Letters In press; ://www.sciencedirect.com/science/article/pii/S1544612326007026.</w:t>
      </w:r>
    </w:p>
    <w:p>
      <w:pPr>
        <w:numPr>
          <w:ilvl w:val="0"/>
          <w:numId w:val="1002"/>
        </w:numPr>
      </w:pPr>
      <w:r>
        <w:t xml:space="preserve">Löffler, G., 2004. An anatomy of rating through the cycle. Journal of Banking &amp; Finance 28, 695–720. https://doi.org/10.1016/S0378-4266(03)00041-4.</w:t>
      </w:r>
    </w:p>
    <w:p>
      <w:pPr>
        <w:numPr>
          <w:ilvl w:val="0"/>
          <w:numId w:val="1002"/>
        </w:numPr>
      </w:pPr>
      <w:r>
        <w:t xml:space="preserve">Löffler, G., 2013. Can rating agencies look through the cycle? Review of Quantitative Finance and Accounting 40, 623–646. https://doi.org/10.1007/s11156-012-0289-9.</w:t>
      </w:r>
    </w:p>
    <w:p>
      <w:pPr>
        <w:numPr>
          <w:ilvl w:val="0"/>
          <w:numId w:val="1002"/>
        </w:numPr>
      </w:pPr>
      <w:r>
        <w:t xml:space="preserve">Lopez-Lira, A., Tang, Y., 2023. Can ChatGPT forecast stock price movements? Return predictability and large language models. arXiv preprint arXiv:2304.07619. https://doi.org/10.48550/arXiv.2304.07619.</w:t>
      </w:r>
    </w:p>
    <w:p>
      <w:pPr>
        <w:numPr>
          <w:ilvl w:val="0"/>
          <w:numId w:val="1002"/>
        </w:numPr>
      </w:pPr>
      <w:r>
        <w:t xml:space="preserve">Song, X., Hou, W., Ouyang, Z., Hao, F., 2026. AI washing: Strategic disclosure and backlash. Finance Research Letters 95, 109684. https://doi.org/10.1016/j.frl.2026.109684.</w:t>
      </w:r>
    </w:p>
    <w:p>
      <w:pPr>
        <w:numPr>
          <w:ilvl w:val="0"/>
          <w:numId w:val="1002"/>
        </w:numPr>
      </w:pPr>
      <w:r>
        <w:t xml:space="preserve">Tversky, A., Kahneman, D., 1974. Judgment under uncertainty: Heuristics and biases. Science 185, 1124–1131. https://doi.org/10.1126/science.185.4157.1124.</w:t>
      </w:r>
    </w:p>
    <w:p>
      <w:pPr>
        <w:numPr>
          <w:ilvl w:val="0"/>
          <w:numId w:val="1002"/>
        </w:numPr>
      </w:pPr>
      <w:r>
        <w:t xml:space="preserve">Tversky, A., Kahneman, D., 1981. The framing of decisions and the psychology of choice. Science 211, 453–458. https://doi.org/10.1126/science.7455683.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hyperlink" Id="rId37" Target="https://github.com/samirrc2/Does-AI-rate-through-the-cycle---Procyclicality-in-credit-assessmen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github.com/samirrc2/Does-AI-rate-through-the-cycle---Procyclicality-in-credit-assess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2026-08-09T17:18:39Z</dcterms:created>
  <dcterms:modified xsi:type="dcterms:W3CDTF">2026-08-09T17:18:39Z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