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5.png" ContentType="image/png"/>
  <Override PartName="/word/media/rId3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Sensitivity</w:t>
      </w:r>
      <w:r>
        <w:t xml:space="preserve"> </w:t>
      </w:r>
      <w:r>
        <w:t xml:space="preserve">of</w:t>
      </w:r>
      <w:r>
        <w:t xml:space="preserve"> </w:t>
      </w:r>
      <w:r>
        <w:t xml:space="preserve">AI-Generated</w:t>
      </w:r>
      <w:r>
        <w:t xml:space="preserve"> </w:t>
      </w:r>
      <w:r>
        <w:t xml:space="preserve">Credit</w:t>
      </w:r>
      <w:r>
        <w:t xml:space="preserve"> </w:t>
      </w:r>
      <w:r>
        <w:t xml:space="preserve">Ratings</w:t>
      </w:r>
      <w:r>
        <w:t xml:space="preserve"> </w:t>
      </w:r>
      <w:r>
        <w:t xml:space="preserve">to</w:t>
      </w:r>
      <w:r>
        <w:t xml:space="preserve"> </w:t>
      </w:r>
      <w:r>
        <w:t xml:space="preserve">Elicitation</w:t>
      </w:r>
      <w:r>
        <w:t xml:space="preserve"> </w:t>
      </w:r>
      <w:r>
        <w:t xml:space="preserve">Choices</w:t>
      </w:r>
    </w:p>
    <w:p>
      <w:pPr>
        <w:pStyle w:val="FirstParagraph"/>
      </w:pPr>
      <w:r>
        <w:t xml:space="preserve">Samir Chincholikar, Robin Chawla. Independent researcher, New York, USA.</w:t>
      </w:r>
    </w:p>
    <w:p>
      <w:pPr>
        <w:pStyle w:val="Heading1"/>
      </w:pPr>
      <w:bookmarkStart w:id="20" w:name="abstract"/>
      <w:r>
        <w:t xml:space="preserve">Abstract</w:t>
      </w:r>
      <w:bookmarkEnd w:id="20"/>
    </w:p>
    <w:p>
      <w:pPr>
        <w:pStyle w:val="FirstParagraph"/>
      </w:pPr>
      <w:r>
        <w:t xml:space="preserve">LLMs are increasingly used to support credit assessments, but it is unclear whether</w:t>
      </w:r>
      <w:r>
        <w:t xml:space="preserve"> </w:t>
      </w:r>
      <w:r>
        <w:t xml:space="preserve">elicitation choices merely reveal a stable credit view or shape the rating. We examine this with a</w:t>
      </w:r>
      <w:r>
        <w:t xml:space="preserve"> </w:t>
      </w:r>
      <w:r>
        <w:t xml:space="preserve">pre-registered specification-curve design that holds fundamentals fixed while varying how the assessment</w:t>
      </w:r>
      <w:r>
        <w:t xml:space="preserve"> </w:t>
      </w:r>
      <w:r>
        <w:t xml:space="preserve">is elicited. A fixed 90-item battery spans a balanced grid of provider, model version, temperature,</w:t>
      </w:r>
      <w:r>
        <w:t xml:space="preserve"> </w:t>
      </w:r>
      <w:r>
        <w:t xml:space="preserve">prompt paraphrase, output format, few-shot exemplars, and presentation, with three seeds</w:t>
      </w:r>
      <w:r>
        <w:t xml:space="preserve"> </w:t>
      </w:r>
      <w:r>
        <w:t xml:space="preserve">(12</w:t>
      </w:r>
      <w:r>
        <w:t xml:space="preserve">,</w:t>
      </w:r>
      <w:r>
        <w:t xml:space="preserve">960 elicitations, three model families); credit-health profiles use a pre-specified Altman Z</w:t>
      </w:r>
      <m:oMath>
        <m:r>
          <m:t>″</m:t>
        </m:r>
      </m:oMath>
      <w:r>
        <w:t xml:space="preserve"> </w:t>
      </w:r>
      <w:r>
        <w:t xml:space="preserve">benchmark. Our estimand is stability, not accuracy. No controllable axis accounts for more than about</w:t>
      </w:r>
      <w:r>
        <w:t xml:space="preserve"> </w:t>
      </w:r>
      <w:r>
        <w:t xml:space="preserve">5% of rating variance, while run-to-run variation accounts for about a quarter. Instability persists</w:t>
      </w:r>
      <w:r>
        <w:t xml:space="preserve"> </w:t>
      </w:r>
      <w:r>
        <w:t xml:space="preserve">even under deterministic execution (permutation</w:t>
      </w:r>
      <w:r>
        <w:t xml:space="preserve"> </w:t>
      </w:r>
      <m:oMath>
        <m:r>
          <m:t>p</m:t>
        </m:r>
        <m:r>
          <m:t>=</m:t>
        </m:r>
        <m:r>
          <m:t>0.001</m:t>
        </m:r>
      </m:oMath>
      <w:r>
        <w:t xml:space="preserve">).</w:t>
      </w:r>
      <w:r>
        <w:t xml:space="preserve"> </w:t>
      </w:r>
      <w:r>
        <w:t xml:space="preserve">Cross-specification agreement stays limited at every resolution: Fleiss’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reaches at most 0.46</w:t>
      </w:r>
      <w:r>
        <w:t xml:space="preserve"> </w:t>
      </w:r>
      <w:r>
        <w:t xml:space="preserve">even for the investment-grade/high-yield split, for which 26.8% of matched pairs disagree; switching or</w:t>
      </w:r>
      <w:r>
        <w:t xml:space="preserve"> </w:t>
      </w:r>
      <w:r>
        <w:t xml:space="preserve">pooling providers does not remove it. Modal calls imply 56.8% portfolio turnover, and a post-hoc recast</w:t>
      </w:r>
      <w:r>
        <w:t xml:space="preserve"> </w:t>
      </w:r>
      <w:r>
        <w:t xml:space="preserve">swings the same $45 billion book between $2.0 and $4.2 billion of Pillar-1 capital. A complementary arm</w:t>
      </w:r>
      <w:r>
        <w:t xml:space="preserve"> </w:t>
      </w:r>
      <w:r>
        <w:t xml:space="preserve">of 31 anonymized, perturbed real issuers under a decontamination gate shows the same instability.</w:t>
      </w:r>
      <w:r>
        <w:t xml:space="preserve"> </w:t>
      </w:r>
      <w:r>
        <w:t xml:space="preserve">Elicitation specification is a material source of model risk.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large language models, credit ratings, specification-curve analysis, model risk, reproducibility, investment grade</w:t>
      </w:r>
    </w:p>
    <w:p>
      <w:pPr>
        <w:pStyle w:val="Heading1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Large language models (LLMs) are increasingly used as an analytic tool in finance, including for</w:t>
      </w:r>
      <w:r>
        <w:t xml:space="preserve"> </w:t>
      </w:r>
      <w:r>
        <w:t xml:space="preserve">financial-statement interpretation, risk assessment, investment recommendations, and credit analysis</w:t>
      </w:r>
      <w:r>
        <w:t xml:space="preserve"> </w:t>
      </w:r>
      <w:r>
        <w:t xml:space="preserve">[1]. In such applications a user usually provides financial information and asks</w:t>
      </w:r>
      <w:r>
        <w:t xml:space="preserve"> </w:t>
      </w:r>
      <w:r>
        <w:t xml:space="preserve">the model to make a judgment such as a credit rating, risk category, or trading recommendation. Implicit</w:t>
      </w:r>
      <w:r>
        <w:t xml:space="preserve"> </w:t>
      </w:r>
      <w:r>
        <w:t xml:space="preserve">in such use is the presumption that the model has a sufficiently stable underlying assessment, and that</w:t>
      </w:r>
      <w:r>
        <w:t xml:space="preserve"> </w:t>
      </w:r>
      <w:r>
        <w:t xml:space="preserve">reasonable changes to the phrasing of the question simply reveal that assessment. If this assumption is</w:t>
      </w:r>
      <w:r>
        <w:t xml:space="preserve"> </w:t>
      </w:r>
      <w:r>
        <w:t xml:space="preserve">correct, then choices such as prompt wording, output format, sampling temperature, or model provider are</w:t>
      </w:r>
      <w:r>
        <w:t xml:space="preserve"> </w:t>
      </w:r>
      <w:r>
        <w:t xml:space="preserve">mostly procedural. If it does not hold, then these choices are embedded in the measurement process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This distinction is of particular importance for credit evaluation. Credit ratings are categorical</w:t>
      </w:r>
      <w:r>
        <w:t xml:space="preserve"> </w:t>
      </w:r>
      <w:r>
        <w:t xml:space="preserve">decisions with economically important cut points. The investment-grade/high-yield split influences index</w:t>
      </w:r>
      <w:r>
        <w:t xml:space="preserve"> </w:t>
      </w:r>
      <w:r>
        <w:t xml:space="preserve">eligibility, ratings-based investment mandates, treatment of collateral, covenant provisions, cost of</w:t>
      </w:r>
      <w:r>
        <w:t xml:space="preserve"> </w:t>
      </w:r>
      <w:r>
        <w:t xml:space="preserve">financing, and regulatory capital. A model that reaches different assessments because the same financial</w:t>
      </w:r>
      <w:r>
        <w:t xml:space="preserve"> </w:t>
      </w:r>
      <w:r>
        <w:t xml:space="preserve">information is presented under a different but defensible elicitation specification can lead to materially</w:t>
      </w:r>
      <w:r>
        <w:t xml:space="preserve"> </w:t>
      </w:r>
      <w:r>
        <w:t xml:space="preserve">different downstream decisions even when the underlying firm fundamentals are unchanged. In our</w:t>
      </w:r>
      <w:r>
        <w:t xml:space="preserve"> </w:t>
      </w:r>
      <w:r>
        <w:t xml:space="preserve">experiments, around 27% of matched elicitation pairs place the same credit profile on opposite sides of</w:t>
      </w:r>
      <w:r>
        <w:t xml:space="preserve"> </w:t>
      </w:r>
      <w:r>
        <w:t xml:space="preserve">the investment-grade/high-yield boundary. The key question we ask is therefore not whether an LLM can</w:t>
      </w:r>
      <w:r>
        <w:t xml:space="preserve"> </w:t>
      </w:r>
      <w:r>
        <w:t xml:space="preserve">produce a plausible credit rating, but whether the rating is sufficiently stable when reasonable</w:t>
      </w:r>
      <w:r>
        <w:t xml:space="preserve"> </w:t>
      </w:r>
      <w:r>
        <w:t xml:space="preserve">elicitation choices change.</w:t>
      </w:r>
    </w:p>
    <w:p>
      <w:pPr>
        <w:pStyle w:val="BodyText"/>
      </w:pPr>
      <w:r>
        <w:t xml:space="preserve">Prompt sensitivity and run-to-run variability in LLMs have been well documented in computer science</w:t>
      </w:r>
      <w:r>
        <w:t xml:space="preserve"> </w:t>
      </w:r>
      <w:r>
        <w:t xml:space="preserve">[2, 3], and recent work has shown related variability in</w:t>
      </w:r>
      <w:r>
        <w:t xml:space="preserve"> </w:t>
      </w:r>
      <w:r>
        <w:t xml:space="preserve">LLM-generated financial recommendations [4]. But three questions remain</w:t>
      </w:r>
      <w:r>
        <w:t xml:space="preserve"> </w:t>
      </w:r>
      <w:r>
        <w:t xml:space="preserve">unresolved for high-stakes credit applications. First, it is unclear how large this</w:t>
      </w:r>
      <w:r>
        <w:t xml:space="preserve"> </w:t>
      </w:r>
      <w:r>
        <w:t xml:space="preserve">instability is in the units used by credit practitioners, rather than generic measures of textual</w:t>
      </w:r>
      <w:r>
        <w:t xml:space="preserve"> </w:t>
      </w:r>
      <w:r>
        <w:t xml:space="preserve">variation. Second, the variation observed may be due to a small number of controllable design choices,</w:t>
      </w:r>
      <w:r>
        <w:t xml:space="preserve"> </w:t>
      </w:r>
      <w:r>
        <w:t xml:space="preserve">in which case the instability could be mitigated through an appropriate choice of prompt or model</w:t>
      </w:r>
      <w:r>
        <w:t xml:space="preserve"> </w:t>
      </w:r>
      <w:r>
        <w:t xml:space="preserve">configuration, or it may signal a broader noise floor that persists across the elicitation process. Third,</w:t>
      </w:r>
      <w:r>
        <w:t xml:space="preserve"> </w:t>
      </w:r>
      <w:r>
        <w:t xml:space="preserve">evaluation using real firms poses a further challenge: general-purpose LLMs may recognize issuers from</w:t>
      </w:r>
      <w:r>
        <w:t xml:space="preserve"> </w:t>
      </w:r>
      <w:r>
        <w:t xml:space="preserve">publicly available financial information, making it hard to distinguish independent credit assessment</w:t>
      </w:r>
      <w:r>
        <w:t xml:space="preserve"> </w:t>
      </w:r>
      <w:r>
        <w:t xml:space="preserve">from memorized issuer knowledge.</w:t>
      </w:r>
    </w:p>
    <w:p>
      <w:pPr>
        <w:pStyle w:val="BodyText"/>
      </w:pPr>
      <w:r>
        <w:t xml:space="preserve">We address these questions using a pre-registered specification-curve design based on the</w:t>
      </w:r>
      <w:r>
        <w:t xml:space="preserve"> </w:t>
      </w:r>
      <w:r>
        <w:t xml:space="preserve">multiverse-analysis literature [5, 6].</w:t>
      </w:r>
      <w:r>
        <w:t xml:space="preserve"> </w:t>
      </w:r>
      <w:r>
        <w:t xml:space="preserve">Specification-curve analysis considers a single defensible analytical pipeline as a member of a larger</w:t>
      </w:r>
      <w:r>
        <w:t xml:space="preserve"> </w:t>
      </w:r>
      <w:r>
        <w:t xml:space="preserve">family of reasonable specifications and tests whether the substantive result depends on the particular</w:t>
      </w:r>
      <w:r>
        <w:t xml:space="preserve"> </w:t>
      </w:r>
      <w:r>
        <w:t xml:space="preserve">choice. Related approaches have been used to study researcher degrees of freedom and annotation</w:t>
      </w:r>
      <w:r>
        <w:t xml:space="preserve"> </w:t>
      </w:r>
      <w:r>
        <w:t xml:space="preserve">variability [7]. We extend this logic to machine elicitation, where the</w:t>
      </w:r>
      <w:r>
        <w:t xml:space="preserve"> </w:t>
      </w:r>
      <w:r>
        <w:t xml:space="preserve">elicitation specification is varied systematically while the financial information and the underlying</w:t>
      </w:r>
      <w:r>
        <w:t xml:space="preserve"> </w:t>
      </w:r>
      <w:r>
        <w:t xml:space="preserve">task are held fixed. The distribution of ratings obtained is a direct measure of the dependence of the</w:t>
      </w:r>
      <w:r>
        <w:t xml:space="preserve"> </w:t>
      </w:r>
      <w:r>
        <w:t xml:space="preserve">machine-generated credit opinion on the way it is asked.</w:t>
      </w:r>
    </w:p>
    <w:p>
      <w:pPr>
        <w:pStyle w:val="BodyText"/>
      </w:pPr>
      <w:r>
        <w:t xml:space="preserve">In the main experiment, we fix the number of items to 90 and pre-register a grid of elicitation choices</w:t>
      </w:r>
      <w:r>
        <w:t xml:space="preserve"> </w:t>
      </w:r>
      <w:r>
        <w:t xml:space="preserve">over model provider, model version, temperature, prompt paraphrase, output format, few-shot exemplars,</w:t>
      </w:r>
      <w:r>
        <w:t xml:space="preserve"> </w:t>
      </w:r>
      <w:r>
        <w:t xml:space="preserve">and answer presentation. The design comprises 12</w:t>
      </w:r>
      <w:r>
        <w:t xml:space="preserve">,</w:t>
      </w:r>
      <w:r>
        <w:t xml:space="preserve">960 planned elicitations across three model families</w:t>
      </w:r>
      <w:r>
        <w:t xml:space="preserve"> </w:t>
      </w:r>
      <w:r>
        <w:t xml:space="preserve">over three repeated seeds. The financial profiles of the credit-health items are built on a pre-specified</w:t>
      </w:r>
      <w:r>
        <w:t xml:space="preserve"> </w:t>
      </w:r>
      <w:r>
        <w:t xml:space="preserve">Altman Z</w:t>
      </w:r>
      <m:oMath>
        <m:r>
          <m:t>″</m:t>
        </m:r>
      </m:oMath>
      <w:r>
        <w:t xml:space="preserve"> </w:t>
      </w:r>
      <w:r>
        <w:t xml:space="preserve">accounting-based benchmark [8]. The benchmark provides a fixed, independently</w:t>
      </w:r>
      <w:r>
        <w:t xml:space="preserve"> </w:t>
      </w:r>
      <w:r>
        <w:t xml:space="preserve">computable reference for credit health, whereas the elicitation specification varies. Our principal</w:t>
      </w:r>
      <w:r>
        <w:t xml:space="preserve"> </w:t>
      </w:r>
      <w:r>
        <w:t xml:space="preserve">estimand is therefore not rating accuracy but</w:t>
      </w:r>
      <w:r>
        <w:t xml:space="preserve"> </w:t>
      </w:r>
      <w:r>
        <w:rPr>
          <w:i/>
        </w:rPr>
        <w:t xml:space="preserve">stability across specifications</w:t>
      </w:r>
      <w:r>
        <w:t xml:space="preserve">.</w:t>
      </w:r>
    </w:p>
    <w:p>
      <w:pPr>
        <w:pStyle w:val="BodyText"/>
      </w:pPr>
      <w:r>
        <w:t xml:space="preserve">The paper makes four contributions. First, we measure the sensitivity of machine-generated credit</w:t>
      </w:r>
      <w:r>
        <w:t xml:space="preserve"> </w:t>
      </w:r>
      <w:r>
        <w:t xml:space="preserve">ratings to the specification and decompose the rating variation into variation across firm</w:t>
      </w:r>
      <w:r>
        <w:t xml:space="preserve"> </w:t>
      </w:r>
      <w:r>
        <w:t xml:space="preserve">characteristics, variation due to the elicitation process, variation across providers, and residual</w:t>
      </w:r>
      <w:r>
        <w:t xml:space="preserve"> </w:t>
      </w:r>
      <w:r>
        <w:t xml:space="preserve">run-to-run variation. This allows us to distinguish instability that could reasonably be addressed by</w:t>
      </w:r>
      <w:r>
        <w:t xml:space="preserve"> </w:t>
      </w:r>
      <w:r>
        <w:t xml:space="preserve">improved specification choices from variation that remains as a more general noise floor. Second, we</w:t>
      </w:r>
      <w:r>
        <w:t xml:space="preserve"> </w:t>
      </w:r>
      <w:r>
        <w:t xml:space="preserve">study the persistence of the instability under two natural remedies, deterministic execution and provider</w:t>
      </w:r>
      <w:r>
        <w:t xml:space="preserve"> </w:t>
      </w:r>
      <w:r>
        <w:t xml:space="preserve">selection, and we measure agreement at different rating resolutions, from the full letter scale to the</w:t>
      </w:r>
      <w:r>
        <w:t xml:space="preserve"> </w:t>
      </w:r>
      <w:r>
        <w:t xml:space="preserve">investment-grade/high-yield split, to determine whether a stable credit opinion emerges after coarsening</w:t>
      </w:r>
      <w:r>
        <w:t xml:space="preserve"> </w:t>
      </w:r>
      <w:r>
        <w:t xml:space="preserve">the rating scale. Third, we convert the observed instability into economically interpretable quantities:</w:t>
      </w:r>
      <w:r>
        <w:t xml:space="preserve"> </w:t>
      </w:r>
      <w:r>
        <w:t xml:space="preserve">rating-boundary migration, portfolio turnover, implied credit-spread variation, and an illustrative</w:t>
      </w:r>
      <w:r>
        <w:t xml:space="preserve"> </w:t>
      </w:r>
      <w:r>
        <w:t xml:space="preserve">regulatory-capital recast. These analyses relate specification sensitivity to the kinds of decisions that</w:t>
      </w:r>
      <w:r>
        <w:t xml:space="preserve"> </w:t>
      </w:r>
      <w:r>
        <w:t xml:space="preserve">credit ratings are generally used for. Fourth, we test the persistence of the results outside the</w:t>
      </w:r>
      <w:r>
        <w:t xml:space="preserve"> </w:t>
      </w:r>
      <w:r>
        <w:t xml:space="preserve">constructed battery while explicitly addressing contamination from model memorization. We compile a set</w:t>
      </w:r>
      <w:r>
        <w:t xml:space="preserve"> </w:t>
      </w:r>
      <w:r>
        <w:t xml:space="preserve">of 31 U.S. business-to-business issuers with disclosed agency ratings, anonymize the profiles, perturb</w:t>
      </w:r>
      <w:r>
        <w:t xml:space="preserve"> </w:t>
      </w:r>
      <w:r>
        <w:t xml:space="preserve">all dollar values by an issuer-specific multiplicative factor that preserves financial ratios, and employ</w:t>
      </w:r>
      <w:r>
        <w:t xml:space="preserve"> </w:t>
      </w:r>
      <w:r>
        <w:t xml:space="preserve">a pre-registered fingerprinting gate to test whether the issuer remains identifiable from the financial</w:t>
      </w:r>
      <w:r>
        <w:t xml:space="preserve"> </w:t>
      </w:r>
      <w:r>
        <w:t xml:space="preserve">information; identification drops from 22% with unperturbed profiles to 2.9% after decontamination.</w:t>
      </w:r>
    </w:p>
    <w:p>
      <w:pPr>
        <w:pStyle w:val="Heading1"/>
      </w:pPr>
      <w:bookmarkStart w:id="22" w:name="related-work"/>
      <w:r>
        <w:t xml:space="preserve">Related work</w:t>
      </w:r>
      <w:bookmarkEnd w:id="22"/>
    </w:p>
    <w:p>
      <w:pPr>
        <w:pStyle w:val="Heading2"/>
      </w:pPr>
      <w:bookmarkStart w:id="23" w:name="X0dba5ecfc7746c0d26bbfb187565964f2058f86"/>
      <w:r>
        <w:t xml:space="preserve">Prompt sensitivity and non-determinism in large language models</w:t>
      </w:r>
      <w:bookmarkEnd w:id="23"/>
    </w:p>
    <w:p>
      <w:pPr>
        <w:pStyle w:val="FirstParagraph"/>
      </w:pPr>
      <w:r>
        <w:t xml:space="preserve">Large language models are built on transformer-based foundation models, and their output depends not only</w:t>
      </w:r>
      <w:r>
        <w:t xml:space="preserve"> </w:t>
      </w:r>
      <w:r>
        <w:t xml:space="preserve">on the information provided to them but also on how that information is elicited</w:t>
      </w:r>
      <w:r>
        <w:t xml:space="preserve"> </w:t>
      </w:r>
      <w:r>
        <w:t xml:space="preserve">[9, 10, 11]. Prior work has demonstrated that</w:t>
      </w:r>
      <w:r>
        <w:t xml:space="preserve"> </w:t>
      </w:r>
      <w:r>
        <w:t xml:space="preserve">semantically irrelevant or substantively minor changes to prompt construction—such as paraphrasing,</w:t>
      </w:r>
      <w:r>
        <w:t xml:space="preserve"> </w:t>
      </w:r>
      <w:r>
        <w:t xml:space="preserve">answer format, ordering of options, and sampling configuration—can produce materially different outputs</w:t>
      </w:r>
      <w:r>
        <w:t xml:space="preserve"> </w:t>
      </w:r>
      <w:r>
        <w:t xml:space="preserve">even when the underlying task is unchanged [2, 12].</w:t>
      </w:r>
      <w:r>
        <w:t xml:space="preserve"> </w:t>
      </w:r>
      <w:r>
        <w:t xml:space="preserve">Non-determinism can also be observed in settings intended to produce deterministic responses</w:t>
      </w:r>
      <w:r>
        <w:t xml:space="preserve"> </w:t>
      </w:r>
      <w:r>
        <w:t xml:space="preserve">[2].</w:t>
      </w:r>
    </w:p>
    <w:p>
      <w:pPr>
        <w:pStyle w:val="BodyText"/>
      </w:pPr>
      <w:r>
        <w:t xml:space="preserve">These results pose a significant measurement challenge for empirical applications of LLMs. If conclusions</w:t>
      </w:r>
      <w:r>
        <w:t xml:space="preserve"> </w:t>
      </w:r>
      <w:r>
        <w:t xml:space="preserve">are sensitive to a single wording of a prompt, then an observed model response could be an artifact of</w:t>
      </w:r>
      <w:r>
        <w:t xml:space="preserve"> </w:t>
      </w:r>
      <w:r>
        <w:t xml:space="preserve">the elicitation specification rather than a stable underlying assessment. Mizrahi et</w:t>
      </w:r>
      <w:r>
        <w:t xml:space="preserve"> </w:t>
      </w:r>
      <w:r>
        <w:t xml:space="preserve">al. [13] demonstrate how single-prompt evaluation can produce fragile</w:t>
      </w:r>
      <w:r>
        <w:t xml:space="preserve"> </w:t>
      </w:r>
      <w:r>
        <w:t xml:space="preserve">conclusions and argue for evaluation across multiple prompt formulations. In finance, Chon et</w:t>
      </w:r>
      <w:r>
        <w:t xml:space="preserve"> </w:t>
      </w:r>
      <w:r>
        <w:t xml:space="preserve">al. [4] likewise find large variation in stock recommendations produced by LLMs</w:t>
      </w:r>
      <w:r>
        <w:t xml:space="preserve"> </w:t>
      </w:r>
      <w:r>
        <w:t xml:space="preserve">depending on the prompting and model choice.</w:t>
      </w:r>
    </w:p>
    <w:p>
      <w:pPr>
        <w:pStyle w:val="Heading2"/>
      </w:pPr>
      <w:bookmarkStart w:id="24" w:name="Xc762aa355966b1fd4892cde6748a9809de69570"/>
      <w:r>
        <w:t xml:space="preserve">Multiverse analysis and specification curves</w:t>
      </w:r>
      <w:bookmarkEnd w:id="24"/>
    </w:p>
    <w:p>
      <w:pPr>
        <w:pStyle w:val="FirstParagraph"/>
      </w:pPr>
      <w:r>
        <w:t xml:space="preserve">Empirical results often depend on a set of reasonable analytical choices rather than a single, uniquely</w:t>
      </w:r>
      <w:r>
        <w:t xml:space="preserve"> </w:t>
      </w:r>
      <w:r>
        <w:t xml:space="preserve">correct specification. The problem has been described as the</w:t>
      </w:r>
      <w:r>
        <w:t xml:space="preserve"> </w:t>
      </w:r>
      <w:r>
        <w:t xml:space="preserve">“</w:t>
      </w:r>
      <w:r>
        <w:t xml:space="preserve">garden of forking paths,</w:t>
      </w:r>
      <w:r>
        <w:t xml:space="preserve">”</w:t>
      </w:r>
      <w:r>
        <w:t xml:space="preserve"> </w:t>
      </w:r>
      <w:r>
        <w:t xml:space="preserve">in which</w:t>
      </w:r>
      <w:r>
        <w:t xml:space="preserve"> </w:t>
      </w:r>
      <w:r>
        <w:t xml:space="preserve">several defensible decisions can lead to different reported results even in the absence of intentional</w:t>
      </w:r>
      <w:r>
        <w:t xml:space="preserve"> </w:t>
      </w:r>
      <w:r>
        <w:t xml:space="preserve">specification search [14, 15]. Multiverse analysis and</w:t>
      </w:r>
      <w:r>
        <w:t xml:space="preserve"> </w:t>
      </w:r>
      <w:r>
        <w:t xml:space="preserve">specification-curve analysis tackle this problem by assessing the effect across a specified set of</w:t>
      </w:r>
      <w:r>
        <w:t xml:space="preserve"> </w:t>
      </w:r>
      <w:r>
        <w:t xml:space="preserve">reasonable analytical specifications rather than a single chosen pipeline</w:t>
      </w:r>
      <w:r>
        <w:t xml:space="preserve"> </w:t>
      </w:r>
      <w:r>
        <w:t xml:space="preserve">[6, 5].</w:t>
      </w:r>
    </w:p>
    <w:p>
      <w:pPr>
        <w:pStyle w:val="BodyText"/>
      </w:pPr>
      <w:r>
        <w:t xml:space="preserve">Specification-curve analysis is particularly useful when the emphasis is on how sensitive a result is to</w:t>
      </w:r>
      <w:r>
        <w:t xml:space="preserve"> </w:t>
      </w:r>
      <w:r>
        <w:t xml:space="preserve">the choices made by the researcher. The approach examines the distribution of outcomes over the entire</w:t>
      </w:r>
      <w:r>
        <w:t xml:space="preserve"> </w:t>
      </w:r>
      <w:r>
        <w:t xml:space="preserve">set of defensible specifications, rather than asking whether a given specification leads to a desired</w:t>
      </w:r>
      <w:r>
        <w:t xml:space="preserve"> </w:t>
      </w:r>
      <w:r>
        <w:t xml:space="preserve">outcome. Similarly, Camuffo et al. [7] introduce a variance-aware approach for</w:t>
      </w:r>
      <w:r>
        <w:t xml:space="preserve"> </w:t>
      </w:r>
      <w:r>
        <w:t xml:space="preserve">LLM-assisted management annotation, underlining the importance of accounting for the variability</w:t>
      </w:r>
      <w:r>
        <w:t xml:space="preserve"> </w:t>
      </w:r>
      <w:r>
        <w:t xml:space="preserve">introduced by machine-generated annotations.</w:t>
      </w:r>
    </w:p>
    <w:p>
      <w:pPr>
        <w:pStyle w:val="BodyText"/>
      </w:pPr>
      <w:r>
        <w:t xml:space="preserve">We extend this framework to LLM elicitation. We treat each combination of the model and the prompting</w:t>
      </w:r>
      <w:r>
        <w:t xml:space="preserve"> </w:t>
      </w:r>
      <w:r>
        <w:t xml:space="preserve">choices as one specification, while holding the financial information provided to the model fixed. We</w:t>
      </w:r>
      <w:r>
        <w:t xml:space="preserve"> </w:t>
      </w:r>
      <w:r>
        <w:t xml:space="preserve">treat the LLM as the estimator under study, and the specification curve that arises</w:t>
      </w:r>
      <w:r>
        <w:t xml:space="preserve"> </w:t>
      </w:r>
      <w:r>
        <w:t xml:space="preserve">measures the degree to which the inferred credit assessment varies solely due to reasonable choices in</w:t>
      </w:r>
      <w:r>
        <w:t xml:space="preserve"> </w:t>
      </w:r>
      <w:r>
        <w:t xml:space="preserve">how that assessment is solicited.</w:t>
      </w:r>
    </w:p>
    <w:p>
      <w:pPr>
        <w:pStyle w:val="Heading2"/>
      </w:pPr>
      <w:bookmarkStart w:id="25" w:name="Xb2e0c57c99f402f4e936f6826ba1a3899b92637"/>
      <w:r>
        <w:t xml:space="preserve">Large language models for finance, credit, and supervision</w:t>
      </w:r>
      <w:bookmarkEnd w:id="25"/>
    </w:p>
    <w:p>
      <w:pPr>
        <w:pStyle w:val="FirstParagraph"/>
      </w:pPr>
      <w:r>
        <w:t xml:space="preserve">LLMs are increasingly employed for financial tasks that were previously the preserve of specialist</w:t>
      </w:r>
      <w:r>
        <w:t xml:space="preserve"> </w:t>
      </w:r>
      <w:r>
        <w:t xml:space="preserve">judgment, traditional statistical models, or structured quantitative systems. General-purpose</w:t>
      </w:r>
      <w:r>
        <w:t xml:space="preserve"> </w:t>
      </w:r>
      <w:r>
        <w:t xml:space="preserve">[16, 17, 18] and finance-specific</w:t>
      </w:r>
      <w:r>
        <w:t xml:space="preserve"> </w:t>
      </w:r>
      <w:r>
        <w:t xml:space="preserve">[19, 20] language models have been evaluated for financial-statement</w:t>
      </w:r>
      <w:r>
        <w:t xml:space="preserve"> </w:t>
      </w:r>
      <w:r>
        <w:t xml:space="preserve">analysis [21], return prediction [22], analysis of central-bank</w:t>
      </w:r>
      <w:r>
        <w:t xml:space="preserve"> </w:t>
      </w:r>
      <w:r>
        <w:t xml:space="preserve">communication [23], risk profiling [1], banking supervision</w:t>
      </w:r>
      <w:r>
        <w:t xml:space="preserve"> </w:t>
      </w:r>
      <w:r>
        <w:t xml:space="preserve">[24], and credit-rating prediction [25].</w:t>
      </w:r>
    </w:p>
    <w:p>
      <w:pPr>
        <w:pStyle w:val="BodyText"/>
      </w:pPr>
      <w:r>
        <w:t xml:space="preserve">Much of this literature evaluates</w:t>
      </w:r>
      <w:r>
        <w:t xml:space="preserve"> </w:t>
      </w:r>
      <w:r>
        <w:rPr>
          <w:i/>
        </w:rPr>
        <w:t xml:space="preserve">capability</w:t>
      </w:r>
      <w:r>
        <w:t xml:space="preserve">: whether an LLM can extract useful financial</w:t>
      </w:r>
      <w:r>
        <w:t xml:space="preserve"> </w:t>
      </w:r>
      <w:r>
        <w:t xml:space="preserve">information, produce accurate forecasts, classify firms, or approximate expert judgments. For instance,</w:t>
      </w:r>
      <w:r>
        <w:t xml:space="preserve"> </w:t>
      </w:r>
      <w:r>
        <w:t xml:space="preserve">recent work on credit-rating forecasting compares generative LLMs with established predictive approaches</w:t>
      </w:r>
      <w:r>
        <w:t xml:space="preserve"> </w:t>
      </w:r>
      <w:r>
        <w:t xml:space="preserve">and finds that conventional methods can retain an accuracy advantage [25].</w:t>
      </w:r>
      <w:r>
        <w:t xml:space="preserve"> </w:t>
      </w:r>
      <w:r>
        <w:t xml:space="preserve">These studies concern whether the model performs the task well.</w:t>
      </w:r>
    </w:p>
    <w:p>
      <w:pPr>
        <w:pStyle w:val="BodyText"/>
      </w:pPr>
      <w:r>
        <w:t xml:space="preserve">Our question comes before that comparison. An LLM-generated credit assessment should be sufficiently</w:t>
      </w:r>
      <w:r>
        <w:t xml:space="preserve"> </w:t>
      </w:r>
      <w:r>
        <w:t xml:space="preserve">reproducible under reasonable elicitation choices to be interpretable as a meaningful measurement. A</w:t>
      </w:r>
      <w:r>
        <w:t xml:space="preserve"> </w:t>
      </w:r>
      <w:r>
        <w:t xml:space="preserve">model can appear accurate under one prompt and output a materially different rating under another equally</w:t>
      </w:r>
      <w:r>
        <w:t xml:space="preserve"> </w:t>
      </w:r>
      <w:r>
        <w:t xml:space="preserve">defensible prompt. We therefore emphasize</w:t>
      </w:r>
      <w:r>
        <w:t xml:space="preserve"> </w:t>
      </w:r>
      <w:r>
        <w:rPr>
          <w:i/>
        </w:rPr>
        <w:t xml:space="preserve">stability versus capability</w:t>
      </w:r>
      <w:r>
        <w:t xml:space="preserve">: whether the credit opinion</w:t>
      </w:r>
      <w:r>
        <w:t xml:space="preserve"> </w:t>
      </w:r>
      <w:r>
        <w:t xml:space="preserve">itself is unchanged when the information being evaluated is unchanged but the elicitation specification</w:t>
      </w:r>
      <w:r>
        <w:t xml:space="preserve"> </w:t>
      </w:r>
      <w:r>
        <w:t xml:space="preserve">differs.</w:t>
      </w:r>
    </w:p>
    <w:p>
      <w:pPr>
        <w:pStyle w:val="Heading2"/>
      </w:pPr>
      <w:bookmarkStart w:id="26" w:name="X46dbbd77e0e69055eeab036521de68d083ce3fe"/>
      <w:r>
        <w:t xml:space="preserve">Credit ratings, economic consequences, and model risk</w:t>
      </w:r>
      <w:bookmarkEnd w:id="26"/>
    </w:p>
    <w:p>
      <w:pPr>
        <w:pStyle w:val="FirstParagraph"/>
      </w:pPr>
      <w:r>
        <w:t xml:space="preserve">Quantitative credit-risk assessment has a long history. Altman’s bankruptcy-prediction framework</w:t>
      </w:r>
      <w:r>
        <w:t xml:space="preserve"> </w:t>
      </w:r>
      <w:r>
        <w:t xml:space="preserve">[8] and later probabilistic approaches such as Ohlson’s model [26] showed that</w:t>
      </w:r>
      <w:r>
        <w:t xml:space="preserve"> </w:t>
      </w:r>
      <w:r>
        <w:t xml:space="preserve">accounting information contains systematic signal about corporate financial distress. Credit ratings</w:t>
      </w:r>
      <w:r>
        <w:t xml:space="preserve"> </w:t>
      </w:r>
      <w:r>
        <w:t xml:space="preserve">encode economically relevant differences across firms, and disagreement among human rating agencies has</w:t>
      </w:r>
      <w:r>
        <w:t xml:space="preserve"> </w:t>
      </w:r>
      <w:r>
        <w:t xml:space="preserve">been studied as a meaningful feature of the credit-rating process itself</w:t>
      </w:r>
      <w:r>
        <w:t xml:space="preserve"> </w:t>
      </w:r>
      <w:r>
        <w:t xml:space="preserve">[27, 28, 29].</w:t>
      </w:r>
    </w:p>
    <w:p>
      <w:pPr>
        <w:pStyle w:val="BodyText"/>
      </w:pPr>
      <w:r>
        <w:t xml:space="preserve">Rating stability matters because shifts in rating categories can influence financing terms and</w:t>
      </w:r>
      <w:r>
        <w:t xml:space="preserve"> </w:t>
      </w:r>
      <w:r>
        <w:t xml:space="preserve">institutional choices. Rating differences are associated with borrowing costs and</w:t>
      </w:r>
      <w:r>
        <w:t xml:space="preserve"> </w:t>
      </w:r>
      <w:r>
        <w:t xml:space="preserve">market pricing [28, 29, 30], and migration across the</w:t>
      </w:r>
      <w:r>
        <w:t xml:space="preserve"> </w:t>
      </w:r>
      <w:r>
        <w:t xml:space="preserve">investment-grade/high-yield boundary can have particularly important implications for investment</w:t>
      </w:r>
      <w:r>
        <w:t xml:space="preserve"> </w:t>
      </w:r>
      <w:r>
        <w:t xml:space="preserve">mandates, portfolio composition, and capital treatment. On the regulatory side, the Basel standardized</w:t>
      </w:r>
      <w:r>
        <w:t xml:space="preserve"> </w:t>
      </w:r>
      <w:r>
        <w:t xml:space="preserve">approach maps external credit assessments into risk weights for capital calculations</w:t>
      </w:r>
      <w:r>
        <w:t xml:space="preserve"> </w:t>
      </w:r>
      <w:r>
        <w:t xml:space="preserve">[31], and supervisory exercises have documented considerable dispersion in risk-weighted</w:t>
      </w:r>
      <w:r>
        <w:t xml:space="preserve"> </w:t>
      </w:r>
      <w:r>
        <w:t xml:space="preserve">assets even for common portfolios [32].</w:t>
      </w:r>
    </w:p>
    <w:p>
      <w:pPr>
        <w:pStyle w:val="BodyText"/>
      </w:pPr>
      <w:r>
        <w:t xml:space="preserve">These concerns connect LLM elicitation to the broader literature on model risk. Under supervisory</w:t>
      </w:r>
      <w:r>
        <w:t xml:space="preserve"> </w:t>
      </w:r>
      <w:r>
        <w:t xml:space="preserve">guidance, models must be validated, their limitations understood, and the uncertainty in their outputs</w:t>
      </w:r>
      <w:r>
        <w:t xml:space="preserve"> </w:t>
      </w:r>
      <w:r>
        <w:t xml:space="preserve">appropriately characterized [33]. If the elicitation specification for an LLM-generated</w:t>
      </w:r>
      <w:r>
        <w:t xml:space="preserve"> </w:t>
      </w:r>
      <w:r>
        <w:t xml:space="preserve">credit rating changes the rating materially, then the specification itself becomes part of the model-risk</w:t>
      </w:r>
      <w:r>
        <w:t xml:space="preserve"> </w:t>
      </w:r>
      <w:r>
        <w:t xml:space="preserve">environment. Our work ties these literatures together by directly measuring that instability and</w:t>
      </w:r>
      <w:r>
        <w:t xml:space="preserve"> </w:t>
      </w:r>
      <w:r>
        <w:t xml:space="preserve">quantifying it not only through statistical disagreement but also through rating migration, portfolio</w:t>
      </w:r>
      <w:r>
        <w:t xml:space="preserve"> </w:t>
      </w:r>
      <w:r>
        <w:t xml:space="preserve">turnover, spread implications, and regulatory-capital translations.</w:t>
      </w:r>
    </w:p>
    <w:p>
      <w:pPr>
        <w:pStyle w:val="Heading1"/>
      </w:pPr>
      <w:bookmarkStart w:id="27" w:name="results"/>
      <w:r>
        <w:t xml:space="preserve">Results</w:t>
      </w:r>
      <w:bookmarkEnd w:id="27"/>
    </w:p>
    <w:p>
      <w:pPr>
        <w:pStyle w:val="FirstParagraph"/>
      </w:pPr>
      <w:r>
        <w:t xml:space="preserve">The pre-registered design assesses the stability of ratings across three model providers, using current</w:t>
      </w:r>
      <w:r>
        <w:t xml:space="preserve"> </w:t>
      </w:r>
      <w:r>
        <w:t xml:space="preserve">and prior model snapshots where available. One prior-version xAI snapshot returned empty responses for</w:t>
      </w:r>
      <w:r>
        <w:t xml:space="preserve"> </w:t>
      </w:r>
      <w:r>
        <w:t xml:space="preserve">all assigned cells and is retained as a documented dead cell rather than imputed. Comparisons that require</w:t>
      </w:r>
      <w:r>
        <w:t xml:space="preserve"> </w:t>
      </w:r>
      <w:r>
        <w:t xml:space="preserve">full snapshot coverage therefore use the OpenAI and Google model families, while analyses that do not</w:t>
      </w:r>
      <w:r>
        <w:t xml:space="preserve"> </w:t>
      </w:r>
      <w:r>
        <w:t xml:space="preserve">require balanced historical coverage retain the available xAI observations.</w:t>
      </w:r>
    </w:p>
    <w:p>
      <w:pPr>
        <w:pStyle w:val="Heading2"/>
      </w:pPr>
      <w:bookmarkStart w:id="28" w:name="sources-of-rating-variation"/>
      <w:r>
        <w:t xml:space="preserve">Sources of rating variation</w:t>
      </w:r>
      <w:bookmarkEnd w:id="28"/>
    </w:p>
    <w:p>
      <w:pPr>
        <w:pStyle w:val="FirstParagraph"/>
      </w:pPr>
      <w:r>
        <w:t xml:space="preserve">We first consider the source of variation in the machine-generated credit rating. A mixed-effects</w:t>
      </w:r>
      <w:r>
        <w:t xml:space="preserve"> </w:t>
      </w:r>
      <w:r>
        <w:t xml:space="preserve">decomposition of the full letter-rating rank attributes variance to the firm profile, individual</w:t>
      </w:r>
      <w:r>
        <w:t xml:space="preserve"> </w:t>
      </w:r>
      <w:r>
        <w:t xml:space="preserve">elicitation-design axes, the provider-by-item interaction, and residual run-to-run variation.</w:t>
      </w:r>
    </w:p>
    <w:p>
      <w:pPr>
        <w:pStyle w:val="BodyText"/>
      </w:pPr>
      <w:r>
        <w:t xml:space="preserve">As expected, the firm profile explains most of the observed variance, about 63%, indicating that the</w:t>
      </w:r>
      <w:r>
        <w:t xml:space="preserve"> </w:t>
      </w:r>
      <w:r>
        <w:t xml:space="preserve">models respond strongly to differences in the underlying financial information. But the remaining</w:t>
      </w:r>
      <w:r>
        <w:t xml:space="preserve"> </w:t>
      </w:r>
      <w:r>
        <w:t xml:space="preserve">variation is important because the financial information is constant within each item. The largest</w:t>
      </w:r>
      <w:r>
        <w:t xml:space="preserve"> </w:t>
      </w:r>
      <w:r>
        <w:t xml:space="preserve">non-item component of variance (</w:t>
      </w:r>
      <m:oMath>
        <m:r>
          <m:t>∼</m:t>
        </m:r>
      </m:oMath>
      <w:r>
        <w:t xml:space="preserve">25% of the total) is residual seed-level variation. In contrast,</w:t>
      </w:r>
      <w:r>
        <w:t xml:space="preserve"> </w:t>
      </w:r>
      <w:r>
        <w:t xml:space="preserve">no individual controllable elicitation choice explains more than about 5% of rating variance. The</w:t>
      </w:r>
      <w:r>
        <w:t xml:space="preserve"> </w:t>
      </w:r>
      <w:r>
        <w:t xml:space="preserve">largest measured design-axis contribution is answer presentation (</w:t>
      </w:r>
      <m:oMath>
        <m:r>
          <m:t>∼</m:t>
        </m:r>
      </m:oMath>
      <w:r>
        <w:t xml:space="preserve">5.0%), with the model-provider</w:t>
      </w:r>
      <w:r>
        <w:t xml:space="preserve"> </w:t>
      </w:r>
      <w:r>
        <w:t xml:space="preserve">main effect contributing</w:t>
      </w:r>
      <w:r>
        <w:t xml:space="preserve"> </w:t>
      </w:r>
      <m:oMath>
        <m:r>
          <m:t>∼</m:t>
        </m:r>
      </m:oMath>
      <w:r>
        <w:t xml:space="preserve">1.3%. The provider-by-item interaction accounts for about 2.2%</w:t>
      </w:r>
      <w:r>
        <w:t xml:space="preserve"> </w:t>
      </w:r>
      <w:r>
        <w:t xml:space="preserve">(Table </w:t>
      </w:r>
      <w:hyperlink w:anchor="tab:var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BodyText"/>
      </w:pPr>
      <w:r>
        <w:t xml:space="preserve">These results indicate that specification sensitivity is not concentrated in a single elicitation choice</w:t>
      </w:r>
      <w:r>
        <w:t xml:space="preserve"> </w:t>
      </w:r>
      <w:r>
        <w:t xml:space="preserve">that could be avoided by simply selecting a preferred prompt, format, or provider. Instead, the observed</w:t>
      </w:r>
      <w:r>
        <w:t xml:space="preserve"> </w:t>
      </w:r>
      <w:r>
        <w:t xml:space="preserve">instability is spread across the elicitation process, with variation across repeated calls much larger</w:t>
      </w:r>
      <w:r>
        <w:t xml:space="preserve"> </w:t>
      </w:r>
      <w:r>
        <w:t xml:space="preserve">than that attributable to any single controllable axis.</w:t>
      </w:r>
    </w:p>
    <w:p>
      <w:pPr>
        <w:pStyle w:val="BodyText"/>
      </w:pPr>
      <w:r>
        <w:t xml:space="preserve">The same pattern appears in the specification curve (Fig. </w:t>
      </w:r>
      <w:hyperlink w:anchor="fig:speccurve">
        <w:r>
          <w:rPr>
            <w:rStyle w:val="Hyperlink"/>
          </w:rPr>
          <w:t xml:space="preserve">1</w:t>
        </w:r>
      </w:hyperlink>
      <w:r>
        <w:t xml:space="preserve">). The three seeds are</w:t>
      </w:r>
      <w:r>
        <w:t xml:space="preserve"> </w:t>
      </w:r>
      <w:r>
        <w:t xml:space="preserve">pooled, and each point is a pre-registered specification, ordered by benchmark-consistent credit-band</w:t>
      </w:r>
      <w:r>
        <w:t xml:space="preserve"> </w:t>
      </w:r>
      <w:r>
        <w:t xml:space="preserve">accuracy against the frozen Altman Z</w:t>
      </w:r>
      <m:oMath>
        <m:r>
          <m:t>″</m:t>
        </m:r>
      </m:oMath>
      <w:r>
        <w:t xml:space="preserve"> </w:t>
      </w:r>
      <w:r>
        <w:t xml:space="preserve">reference. Even when the underlying firm profiles are identical,</w:t>
      </w:r>
      <w:r>
        <w:t xml:space="preserve"> </w:t>
      </w:r>
      <w:r>
        <w:t xml:space="preserve">performance varies substantially across defensible specifications, with roughly half of the</w:t>
      </w:r>
      <w:r>
        <w:t xml:space="preserve"> </w:t>
      </w:r>
      <w:r>
        <w:t xml:space="preserve">specifications falling on opposite sides of the pre-registered majority-accuracy threshold. The</w:t>
      </w:r>
      <w:r>
        <w:t xml:space="preserve"> </w:t>
      </w:r>
      <w:r>
        <w:t xml:space="preserve">specification curve therefore demonstrates that conclusions drawn from a single elicitation configuration</w:t>
      </w:r>
      <w:r>
        <w:t xml:space="preserve"> </w:t>
      </w:r>
      <w:r>
        <w:t xml:space="preserve">do not necessarily generalize to other plausible configurations.</w:t>
      </w:r>
    </w:p>
    <w:p>
      <w:pPr>
        <w:pStyle w:val="CaptionedFigure"/>
      </w:pPr>
      <w:bookmarkStart w:id="30" w:name="fig:speccurve"/>
      <w:r>
        <w:drawing>
          <wp:inline>
            <wp:extent cx="5334000" cy="3409911"/>
            <wp:effectExtent b="0" l="0" r="0" t="0"/>
            <wp:docPr descr="Specification curve of the machine credit rating. Each point is one of the pre-registered specifications (three seeds pooled), ordered by majority-correct credit-band accuracy against the Altman Z'' benchmark. Accuracy ranges widely across specifications despite identical firm fundamentals, and roughly half reverse the pre-registered accuracy verdict (specification-curve flip share \approx0.50)—the multiverse the method is named for." title="" id="1" name="Picture"/>
            <a:graphic>
              <a:graphicData uri="http://schemas.openxmlformats.org/drawingml/2006/picture">
                <pic:pic>
                  <pic:nvPicPr>
                    <pic:cNvPr descr="fig_spec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Specification curve of the machine credit rating. Each point is one of the pre-registered</w:t>
      </w:r>
      <w:r>
        <w:t xml:space="preserve"> </w:t>
      </w:r>
      <w:r>
        <w:t xml:space="preserve">specifications (three seeds pooled), ordered by majority-correct credit-band accuracy against the</w:t>
      </w:r>
      <w:r>
        <w:t xml:space="preserve"> </w:t>
      </w:r>
      <w:r>
        <w:t xml:space="preserve">Altman Z</w:t>
      </w:r>
      <m:oMath>
        <m:r>
          <m:t>″</m:t>
        </m:r>
      </m:oMath>
      <w:r>
        <w:t xml:space="preserve"> </w:t>
      </w:r>
      <w:r>
        <w:t xml:space="preserve">benchmark. Accuracy ranges widely across specifications despite identical firm</w:t>
      </w:r>
      <w:r>
        <w:t xml:space="preserve"> </w:t>
      </w:r>
      <w:r>
        <w:t xml:space="preserve">fundamentals, and roughly half reverse the pre-registered accuracy verdict (specification-curve flip</w:t>
      </w:r>
      <w:r>
        <w:t xml:space="preserve"> </w:t>
      </w:r>
      <w:r>
        <w:t xml:space="preserve">share</w:t>
      </w:r>
      <w:r>
        <w:t xml:space="preserve"> </w:t>
      </w:r>
      <m:oMath>
        <m:r>
          <m:t>≈</m:t>
        </m:r>
        <m:r>
          <m:t>0.50</m:t>
        </m:r>
      </m:oMath>
      <w:r>
        <w:t xml:space="preserve">)—the multiverse the method is named for.</w:t>
      </w:r>
    </w:p>
    <w:bookmarkStart w:id="31" w:name="tab:var"/>
    <w:p>
      <w:pPr>
        <w:pStyle w:val="TableCaption"/>
      </w:pPr>
      <w:r>
        <w:t xml:space="preserve">Variance shares of the machine credit letter-rank (mixed-effects). Every controllable design</w:t>
      </w:r>
      <w:r>
        <w:t xml:space="preserve"> </w:t>
      </w:r>
      <w:r>
        <w:t xml:space="preserve">choice is small relative to run-to-run noise.</w:t>
      </w:r>
    </w:p>
    <w:tbl>
      <w:tblPr>
        <w:tblStyle w:val="Table"/>
        <w:tblW w:type="pct" w:w="0.0"/>
        <w:tblLook w:firstRow="1"/>
        <w:tblCaption w:val="Variance shares of the machine credit letter-rank (mixed-effects). Every controllable design choice is small relative to run-to-run nois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Variance share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(firm profile)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63%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Residual seed (run-to-run variation)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 presentation (</w:t>
            </w:r>
            <m:oMath>
              <m:sSub>
                <m:e>
                  <m:r>
                    <m:t>A</m:t>
                  </m:r>
                </m:e>
                <m:sub>
                  <m:r>
                    <m:t>7</m:t>
                  </m:r>
                </m:sub>
              </m:sSub>
            </m:oMath>
            <w:r>
              <w:t xml:space="preserve">, largest design axis)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item interaction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2.2%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provider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main effect)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1.3%</w:t>
            </w:r>
          </w:p>
        </w:tc>
      </w:tr>
    </w:tbl>
    <w:bookmarkEnd w:id="31"/>
    <w:p>
      <w:pPr>
        <w:pStyle w:val="Heading2"/>
      </w:pPr>
      <w:bookmarkStart w:id="32" w:name="Xbbb5a40575d6b28e60fbe2c2efe587619ec44e6"/>
      <w:r>
        <w:t xml:space="preserve">Specification fragility under deterministic execution</w:t>
      </w:r>
      <w:bookmarkEnd w:id="32"/>
    </w:p>
    <w:p>
      <w:pPr>
        <w:pStyle w:val="FirstParagraph"/>
      </w:pPr>
      <w:r>
        <w:t xml:space="preserve">One explanation of this residual variation is that some model providers do not fully honor a requested</w:t>
      </w:r>
      <w:r>
        <w:t xml:space="preserve"> </w:t>
      </w:r>
      <w:r>
        <w:t xml:space="preserve">temperature of zero. If so, the observed instability might largely reflect stochastic sampling rather</w:t>
      </w:r>
      <w:r>
        <w:t xml:space="preserve"> </w:t>
      </w:r>
      <w:r>
        <w:t xml:space="preserve">than sensitivity to the elicitation specification per se.</w:t>
      </w:r>
    </w:p>
    <w:p>
      <w:pPr>
        <w:pStyle w:val="BodyText"/>
      </w:pPr>
      <w:r>
        <w:t xml:space="preserve">We therefore perform the pre-registered determinism test and restrict the analysis to the</w:t>
      </w:r>
      <w:r>
        <w:t xml:space="preserve"> </w:t>
      </w:r>
      <w:r>
        <w:t xml:space="preserve">provider-setting combination for which the returned metadata confirm deterministic execution: Google at</w:t>
      </w:r>
      <w:r>
        <w:t xml:space="preserve"> </w:t>
      </w:r>
      <w:r>
        <w:t xml:space="preserve">temperature 0. This subgrid removes repeated-call sampling variation but retains substantial</w:t>
      </w:r>
      <w:r>
        <w:t xml:space="preserve"> </w:t>
      </w:r>
      <w:r>
        <w:t xml:space="preserve">specification dependence. In it, 62.5% of specifications fall on opposite sides of the majority-accuracy</w:t>
      </w:r>
      <w:r>
        <w:t xml:space="preserve"> </w:t>
      </w:r>
      <w:r>
        <w:t xml:space="preserve">threshold, and benchmark-consistent credit-band accuracy ranges from 0.36 to 0.69 across deterministic</w:t>
      </w:r>
      <w:r>
        <w:t xml:space="preserve"> </w:t>
      </w:r>
      <w:r>
        <w:t xml:space="preserve">prompt configurations.</w:t>
      </w:r>
    </w:p>
    <w:p>
      <w:pPr>
        <w:pStyle w:val="BodyText"/>
      </w:pPr>
      <w:r>
        <w:t xml:space="preserve">A one-sided label-permutation test rejects the null of specification invariance. Across 999 permutations,</w:t>
      </w:r>
      <w:r>
        <w:t xml:space="preserve"> </w:t>
      </w:r>
      <w:r>
        <w:t xml:space="preserve">no permuted labeling produced a between-specification spread as large as the observed statistic, giving</w:t>
      </w:r>
      <w:r>
        <w:t xml:space="preserve"> </w:t>
      </w:r>
      <m:oMath>
        <m:r>
          <m:t>p</m:t>
        </m:r>
        <m:r>
          <m:t>=</m:t>
        </m:r>
        <m:r>
          <m:t>(</m:t>
        </m:r>
        <m:r>
          <m:t>k</m:t>
        </m:r>
        <m:r>
          <m:t>+</m:t>
        </m:r>
        <m:r>
          <m:t>1</m:t>
        </m:r>
        <m:r>
          <m:t>)</m:t>
        </m:r>
        <m:r>
          <m:t>/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=</m:t>
        </m:r>
        <m:r>
          <m:t>0.001</m:t>
        </m:r>
      </m:oMath>
      <w:r>
        <w:t xml:space="preserve">. Deterministic execution thus removes run-to-run jitter but does not eliminate</w:t>
      </w:r>
      <w:r>
        <w:t xml:space="preserve"> </w:t>
      </w:r>
      <w:r>
        <w:t xml:space="preserve">sensitivity to prompt and presentation choices; indeed, the specification-curve flip share within the</w:t>
      </w:r>
      <w:r>
        <w:t xml:space="preserve"> </w:t>
      </w:r>
      <w:r>
        <w:t xml:space="preserve">deterministic subgrid is higher than the pooled estimate. The instability therefore cannot be ascribed</w:t>
      </w:r>
      <w:r>
        <w:t xml:space="preserve"> </w:t>
      </w:r>
      <w:r>
        <w:t xml:space="preserve">solely to stochastic sampling.</w:t>
      </w:r>
    </w:p>
    <w:p>
      <w:pPr>
        <w:pStyle w:val="Heading2"/>
      </w:pPr>
      <w:bookmarkStart w:id="33" w:name="agreement-within-and-between-providers"/>
      <w:r>
        <w:t xml:space="preserve">Agreement within and between providers</w:t>
      </w:r>
      <w:bookmarkEnd w:id="33"/>
    </w:p>
    <w:p>
      <w:pPr>
        <w:pStyle w:val="FirstParagraph"/>
      </w:pPr>
      <w:r>
        <w:t xml:space="preserve">The small provider main effect might suggest that provider choice does not matter much. Direct agreement</w:t>
      </w:r>
      <w:r>
        <w:t xml:space="preserve"> </w:t>
      </w:r>
      <w:r>
        <w:t xml:space="preserve">comparisons reveal a more complex pattern.</w:t>
      </w:r>
    </w:p>
    <w:p>
      <w:pPr>
        <w:pStyle w:val="BodyText"/>
      </w:pPr>
      <w:r>
        <w:t xml:space="preserve">Within-provider agreement is consistently higher than cross-provider agreement in the two model families with</w:t>
      </w:r>
      <w:r>
        <w:t xml:space="preserve"> </w:t>
      </w:r>
      <w:r>
        <w:t xml:space="preserve">full current-and-prior snapshot coverage. Within a single provider, 73.7% of identical firm profiles</w:t>
      </w:r>
      <w:r>
        <w:t xml:space="preserve"> </w:t>
      </w:r>
      <w:r>
        <w:t xml:space="preserve">agree at the three-way credit-band level, but only 50.4% agree across providers. At the full</w:t>
      </w:r>
      <w:r>
        <w:t xml:space="preserve"> </w:t>
      </w:r>
      <w:r>
        <w:t xml:space="preserve">letter-rating level, agreement across providers falls to 5.2% from 22.5% within providers.</w:t>
      </w:r>
    </w:p>
    <w:p>
      <w:pPr>
        <w:pStyle w:val="BodyText"/>
      </w:pPr>
      <w:r>
        <w:t xml:space="preserve">These findings are consistent with the variance decomposition. Providers respond differently to specific</w:t>
      </w:r>
      <w:r>
        <w:t xml:space="preserve"> </w:t>
      </w:r>
      <w:r>
        <w:t xml:space="preserve">firm profiles, creating a provider-by-item interaction. The interaction does not appear to reflect a constant</w:t>
      </w:r>
      <w:r>
        <w:t xml:space="preserve"> </w:t>
      </w:r>
      <w:r>
        <w:t xml:space="preserve">directional shift in ratings; a simple global adjustment does not allow one provider to be</w:t>
      </w:r>
      <w:r>
        <w:t xml:space="preserve"> </w:t>
      </w:r>
      <w:r>
        <w:t xml:space="preserve">characterized as systematically more conservative or more generous than another. The disagreement is</w:t>
      </w:r>
      <w:r>
        <w:t xml:space="preserve"> </w:t>
      </w:r>
      <w:r>
        <w:t xml:space="preserve">issuer-specific.</w:t>
      </w:r>
    </w:p>
    <w:p>
      <w:pPr>
        <w:pStyle w:val="BodyText"/>
      </w:pPr>
      <w:r>
        <w:t xml:space="preserve">This distinction is important operationally. Changing vendors does not provide a predictable correction</w:t>
      </w:r>
      <w:r>
        <w:t xml:space="preserve"> </w:t>
      </w:r>
      <w:r>
        <w:t xml:space="preserve">to the rating of a specific firm, and aggregating outputs across vendors does not remove the underlying</w:t>
      </w:r>
      <w:r>
        <w:t xml:space="preserve"> </w:t>
      </w:r>
      <w:r>
        <w:t xml:space="preserve">specification dependence. Vendor diversification therefore does not resolve the conceptual measurement</w:t>
      </w:r>
      <w:r>
        <w:t xml:space="preserve"> </w:t>
      </w:r>
      <w:r>
        <w:t xml:space="preserve">problem or the need to characterize uncertainty across elicitation specifications.</w:t>
      </w:r>
    </w:p>
    <w:p>
      <w:pPr>
        <w:pStyle w:val="Heading2"/>
      </w:pPr>
      <w:bookmarkStart w:id="34" w:name="stability-across-rating-resolutions"/>
      <w:r>
        <w:t xml:space="preserve">Stability across rating resolutions</w:t>
      </w:r>
      <w:bookmarkEnd w:id="34"/>
    </w:p>
    <w:p>
      <w:pPr>
        <w:pStyle w:val="FirstParagraph"/>
      </w:pPr>
      <w:r>
        <w:t xml:space="preserve">Credit ratings are inherently hierarchical. A model may not reproduce an exact letter grade yet still</w:t>
      </w:r>
      <w:r>
        <w:t xml:space="preserve"> </w:t>
      </w:r>
      <w:r>
        <w:t xml:space="preserve">express a stable broader assessment. We therefore assess cross-specification agreement as we move from</w:t>
      </w:r>
      <w:r>
        <w:t xml:space="preserve"> </w:t>
      </w:r>
      <w:r>
        <w:t xml:space="preserve">the full 21-grade letter-rating scale to notch categories, three broad credit bands, and the binary</w:t>
      </w:r>
      <w:r>
        <w:t xml:space="preserve"> </w:t>
      </w:r>
      <w:r>
        <w:t xml:space="preserve">investment-grade/high-yield distinction.</w:t>
      </w:r>
    </w:p>
    <w:p>
      <w:pPr>
        <w:pStyle w:val="BodyText"/>
      </w:pPr>
      <w:r>
        <w:t xml:space="preserve">Agreement improves as the scale is coarsened but does not become fully stable. Raw cross-specification</w:t>
      </w:r>
      <w:r>
        <w:t xml:space="preserve"> </w:t>
      </w:r>
      <w:r>
        <w:t xml:space="preserve">agreement is approximately 16% at the letter level, 34% at the notch level, 65% for the three-way</w:t>
      </w:r>
      <w:r>
        <w:t xml:space="preserve"> </w:t>
      </w:r>
      <w:r>
        <w:t xml:space="preserve">credit band, and 73% for the investment-grade/high-yield split. Equivalently, matched elicitation pairs</w:t>
      </w:r>
      <w:r>
        <w:t xml:space="preserve"> </w:t>
      </w:r>
      <w:r>
        <w:t xml:space="preserve">disagree in about 84%, 66%, 35%, and 27% of comparisons, respectively (Fig. </w:t>
      </w:r>
      <w:hyperlink w:anchor="fig:ighy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The same conclusion follows from chance-corrected agreement. Fleiss’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is 0.08 at the full letter</w:t>
      </w:r>
      <w:r>
        <w:t xml:space="preserve"> </w:t>
      </w:r>
      <w:r>
        <w:t xml:space="preserve">scale, 0.18 at the notch level, 0.39 for the three-way band, and reaches a maximum of only 0.46 for the</w:t>
      </w:r>
      <w:r>
        <w:t xml:space="preserve"> </w:t>
      </w:r>
      <w:r>
        <w:t xml:space="preserve">investment-grade/high-yield split (Fig. </w:t>
      </w:r>
      <w:hyperlink w:anchor="fig:kappa">
        <w:r>
          <w:rPr>
            <w:rStyle w:val="Hyperlink"/>
          </w:rPr>
          <w:t xml:space="preserve">3</w:t>
        </w:r>
      </w:hyperlink>
      <w:r>
        <w:t xml:space="preserve">). No evaluated rating resolution meets the</w:t>
      </w:r>
      <w:r>
        <w:t xml:space="preserve"> </w:t>
      </w:r>
      <w:r>
        <w:t xml:space="preserve">conventional threshold for substantial agreement (</w:t>
      </w:r>
      <m:oMath>
        <m:r>
          <m:t>κ</m:t>
        </m:r>
        <m: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 instability is not caused by the models collapsing to a narrow set of central ratings. All 21 letter</w:t>
      </w:r>
      <w:r>
        <w:t xml:space="preserve"> </w:t>
      </w:r>
      <w:r>
        <w:t xml:space="preserve">grades are used across the experiment, and scale-usage entropy is 4.03 of a maximum 4.39 bits. The models</w:t>
      </w:r>
      <w:r>
        <w:t xml:space="preserve"> </w:t>
      </w:r>
      <w:r>
        <w:t xml:space="preserve">therefore use the available rating scale extensively but do not reproduce the same assessment</w:t>
      </w:r>
      <w:r>
        <w:t xml:space="preserve"> </w:t>
      </w:r>
      <w:r>
        <w:t xml:space="preserve">consistently across specifications.</w:t>
      </w:r>
    </w:p>
    <w:p>
      <w:pPr>
        <w:pStyle w:val="BodyText"/>
      </w:pPr>
      <w:r>
        <w:t xml:space="preserve">The most economically consequential result appears at the coarsest resolution. Even when all finer</w:t>
      </w:r>
      <w:r>
        <w:t xml:space="preserve"> </w:t>
      </w:r>
      <w:r>
        <w:t xml:space="preserve">distinctions are dropped and only the investment-grade/high-yield classification is retained, 26.8% of</w:t>
      </w:r>
      <w:r>
        <w:t xml:space="preserve"> </w:t>
      </w:r>
      <w:r>
        <w:t xml:space="preserve">matched elicitation pairs place the same firm profile on opposite sides of the boundary. Coarsening</w:t>
      </w:r>
      <w:r>
        <w:t xml:space="preserve"> </w:t>
      </w:r>
      <w:r>
        <w:t xml:space="preserve">reduces specification sensitivity but does not eliminate it.</w:t>
      </w:r>
    </w:p>
    <w:p>
      <w:pPr>
        <w:pStyle w:val="CaptionedFigure"/>
      </w:pPr>
      <w:bookmarkStart w:id="36" w:name="fig:ighy"/>
      <w:r>
        <w:drawing>
          <wp:inline>
            <wp:extent cx="5334000" cy="2952976"/>
            <wp:effectExtent b="0" l="0" r="0" t="0"/>
            <wp:docPr descr="Share of matched elicitation pairs whose credit verdicts differ, by rating granularity, where the two elicitations of a firm may differ on any grid axis (provider, model version, temperature, paraphrase, format, few-shot, presentation) and seed. Even at the coarse investment-grade/high-yield split—the most consequential line in credit—27% of matched pairs disagree." title="" id="1" name="Picture"/>
            <a:graphic>
              <a:graphicData uri="http://schemas.openxmlformats.org/drawingml/2006/picture">
                <pic:pic>
                  <pic:nvPicPr>
                    <pic:cNvPr descr="figure1_igh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Share of matched elicitation pairs whose credit verdicts differ, by rating granularity, where</w:t>
      </w:r>
      <w:r>
        <w:t xml:space="preserve"> </w:t>
      </w:r>
      <w:r>
        <w:t xml:space="preserve">the two elicitations of a firm may differ on any grid axis (provider, model version, temperature,</w:t>
      </w:r>
      <w:r>
        <w:t xml:space="preserve"> </w:t>
      </w:r>
      <w:r>
        <w:t xml:space="preserve">paraphrase, format, few-shot, presentation) and seed. Even at the coarse investment-grade/high-yield</w:t>
      </w:r>
      <w:r>
        <w:t xml:space="preserve"> </w:t>
      </w:r>
      <w:r>
        <w:t xml:space="preserve">split—the most consequential line in credit—27% of matched pairs disagree.</w:t>
      </w:r>
    </w:p>
    <w:p>
      <w:pPr>
        <w:pStyle w:val="CaptionedFigure"/>
      </w:pPr>
      <w:bookmarkStart w:id="38" w:name="fig:kappa"/>
      <w:r>
        <w:drawing>
          <wp:inline>
            <wp:extent cx="5334000" cy="3254844"/>
            <wp:effectExtent b="0" l="0" r="0" t="0"/>
            <wp:docPr descr="Chance-corrected cross-specification agreement (Fleiss \kappa) by granularity; agreement never reaches the \kappa=0.6 substantial-agreement threshold, peaking at 0.46 on the IG/HY split." title="" id="1" name="Picture"/>
            <a:graphic>
              <a:graphicData uri="http://schemas.openxmlformats.org/drawingml/2006/picture">
                <pic:pic>
                  <pic:nvPicPr>
                    <pic:cNvPr descr="figureA_kapp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Chance-corrected cross-specification agreement (Fleiss</w:t>
      </w:r>
      <w:r>
        <w:t xml:space="preserve"> </w:t>
      </w:r>
      <m:oMath>
        <m:r>
          <m:t>κ</m:t>
        </m:r>
      </m:oMath>
      <w:r>
        <w:t xml:space="preserve">) by granularity; agreement</w:t>
      </w:r>
      <w:r>
        <w:t xml:space="preserve"> </w:t>
      </w:r>
      <w:r>
        <w:t xml:space="preserve">never reaches the</w:t>
      </w:r>
      <w:r>
        <w:t xml:space="preserve"> </w:t>
      </w:r>
      <m:oMath>
        <m:r>
          <m:t>κ</m:t>
        </m:r>
        <m:r>
          <m:t>=</m:t>
        </m:r>
        <m:r>
          <m:t>0.6</m:t>
        </m:r>
      </m:oMath>
      <w:r>
        <w:t xml:space="preserve"> </w:t>
      </w:r>
      <w:r>
        <w:t xml:space="preserve">substantial-agreement threshold, peaking at 0.46 on the IG/HY split.</w:t>
      </w:r>
    </w:p>
    <w:p>
      <w:pPr>
        <w:pStyle w:val="Heading2"/>
      </w:pPr>
      <w:bookmarkStart w:id="39" w:name="X550f5210f40dfd123c9f40984dcf8431bc8b469"/>
      <w:r>
        <w:t xml:space="preserve">Economic implications of elicitation instability</w:t>
      </w:r>
      <w:bookmarkEnd w:id="39"/>
    </w:p>
    <w:p>
      <w:pPr>
        <w:pStyle w:val="FirstParagraph"/>
      </w:pPr>
      <w:r>
        <w:t xml:space="preserve">Statistical disagreement is economically important when alternative specifications produce decisions on</w:t>
      </w:r>
      <w:r>
        <w:t xml:space="preserve"> </w:t>
      </w:r>
      <w:r>
        <w:t xml:space="preserve">opposite sides of consequential credit boundaries. We translate the observed rating instability into</w:t>
      </w:r>
      <w:r>
        <w:t xml:space="preserve"> </w:t>
      </w:r>
      <w:r>
        <w:t xml:space="preserve">three decision-relevant quantities: investment-grade/high-yield migration, portfolio turnover, and</w:t>
      </w:r>
      <w:r>
        <w:t xml:space="preserve"> </w:t>
      </w:r>
      <w:r>
        <w:t xml:space="preserve">illustrative spread and capital implications.</w:t>
      </w:r>
    </w:p>
    <w:p>
      <w:pPr>
        <w:pStyle w:val="BodyText"/>
      </w:pPr>
      <w:r>
        <w:t xml:space="preserve">For each credit-health profile we draw two elicitations from its observed specification distribution,</w:t>
      </w:r>
      <w:r>
        <w:t xml:space="preserve"> </w:t>
      </w:r>
      <w:r>
        <w:t xml:space="preserve">allowing the pair to differ on any elicitation axis and on seed. We then compute, for each firm, the</w:t>
      </w:r>
      <w:r>
        <w:t xml:space="preserve"> </w:t>
      </w:r>
      <w:r>
        <w:t xml:space="preserve">probability that the two resulting ratings fall on opposite sides of the investment-grade/high-yield</w:t>
      </w:r>
      <w:r>
        <w:t xml:space="preserve"> </w:t>
      </w:r>
      <w:r>
        <w:t xml:space="preserve">boundary, and average across profiles. This per-comparison flip probability is one minus the</w:t>
      </w:r>
      <w:r>
        <w:t xml:space="preserve"> </w:t>
      </w:r>
      <w:r>
        <w:t xml:space="preserve">Gini–Simpson concentration of the firm’s binary IG/HY outcomes.</w:t>
      </w:r>
    </w:p>
    <w:p>
      <w:pPr>
        <w:pStyle w:val="BodyText"/>
      </w:pPr>
      <w:r>
        <w:t xml:space="preserve">This yields an investment-grade/high-yield flip rate of 26.8% (95% CI 20.9–32.5%): more than a</w:t>
      </w:r>
      <w:r>
        <w:t xml:space="preserve"> </w:t>
      </w:r>
      <w:r>
        <w:t xml:space="preserve">quarter of matched ratings for the same underlying credit profile disagree on which side of the</w:t>
      </w:r>
      <w:r>
        <w:t xml:space="preserve"> </w:t>
      </w:r>
      <w:r>
        <w:t xml:space="preserve">investment-grade boundary the profile falls.</w:t>
      </w:r>
    </w:p>
    <w:p>
      <w:pPr>
        <w:pStyle w:val="BodyText"/>
      </w:pPr>
      <w:r>
        <w:t xml:space="preserve">The implication for the directional task is similar. A strategy that mechanically follows the modal</w:t>
      </w:r>
      <w:r>
        <w:t xml:space="preserve"> </w:t>
      </w:r>
      <w:r>
        <w:t xml:space="preserve">buy/hold/sell call across specifications would incur 56.8% implied turnover (95% CI 50.9–62.7%) due</w:t>
      </w:r>
      <w:r>
        <w:t xml:space="preserve"> </w:t>
      </w:r>
      <w:r>
        <w:t xml:space="preserve">solely to elicitation choices. With the financial inputs unchanged, this turnover reflects specification</w:t>
      </w:r>
      <w:r>
        <w:t xml:space="preserve"> </w:t>
      </w:r>
      <w:r>
        <w:t xml:space="preserve">instability rather than new economic information.</w:t>
      </w:r>
    </w:p>
    <w:p>
      <w:pPr>
        <w:pStyle w:val="BodyText"/>
      </w:pPr>
      <w:r>
        <w:t xml:space="preserve">We also offer two post-hoc economic calibrations. Across all profiles, the median implied within-name</w:t>
      </w:r>
      <w:r>
        <w:t xml:space="preserve"> </w:t>
      </w:r>
      <w:r>
        <w:t xml:space="preserve">spread range is about 860 basis points under the rating-spread schedule of Cornaggia et</w:t>
      </w:r>
      <w:r>
        <w:t xml:space="preserve"> </w:t>
      </w:r>
      <w:r>
        <w:t xml:space="preserve">al. [30], inflated by names saturating in the CCC region; for non-saturating profiles</w:t>
      </w:r>
      <w:r>
        <w:t xml:space="preserve"> </w:t>
      </w:r>
      <w:r>
        <w:t xml:space="preserve">the median range is about 261 basis points, and no profile falls below about 106 basis points. Mapping</w:t>
      </w:r>
      <w:r>
        <w:t xml:space="preserve"> </w:t>
      </w:r>
      <w:r>
        <w:t xml:space="preserve">each specification’s rating through the Basel standardized external-ratings risk-weight framework</w:t>
      </w:r>
      <w:r>
        <w:t xml:space="preserve"> </w:t>
      </w:r>
      <w:r>
        <w:t xml:space="preserve">[31] for a single hypothetical $45 billion equal-weight corporate portfolio, the</w:t>
      </w:r>
      <w:r>
        <w:t xml:space="preserve"> </w:t>
      </w:r>
      <w:r>
        <w:t xml:space="preserve">resulting Pillar-1 minimum-capital requirement—driven only by the elicitation specification—ranges</w:t>
      </w:r>
      <w:r>
        <w:t xml:space="preserve"> </w:t>
      </w:r>
      <w:r>
        <w:t xml:space="preserve">from approximately $2.0 billion to $4.2 billion. Two randomly drawn specifications differ by about</w:t>
      </w:r>
      <w:r>
        <w:t xml:space="preserve"> </w:t>
      </w:r>
      <w:r>
        <w:t xml:space="preserve">$0.65 billion on average, or 20.5% of the median computed capital requirement—comparable to the</w:t>
      </w:r>
      <w:r>
        <w:t xml:space="preserve"> </w:t>
      </w:r>
      <m:oMath>
        <m:r>
          <m:t>∼</m:t>
        </m:r>
      </m:oMath>
      <w:r>
        <w:t xml:space="preserve">20% relative dispersion the Basel RCAP exercise found across internal-model banks holding</w:t>
      </w:r>
      <w:r>
        <w:t xml:space="preserve"> </w:t>
      </w:r>
      <w:r>
        <w:t xml:space="preserve">identical portfolios [32]. Although these spread and capital calculations are explicitly</w:t>
      </w:r>
      <w:r>
        <w:t xml:space="preserve"> </w:t>
      </w:r>
      <w:r>
        <w:t xml:space="preserve">post-hoc calibrations rather than confirmatory tests, they indicate that the magnitude of</w:t>
      </w:r>
      <w:r>
        <w:t xml:space="preserve"> </w:t>
      </w:r>
      <w:r>
        <w:t xml:space="preserve">specification-induced rating dispersion is economically non-trivial (Table </w:t>
      </w:r>
      <w:hyperlink w:anchor="tab:frag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40" w:name="tab:frag"/>
    <w:p>
      <w:pPr>
        <w:pStyle w:val="TableCaption"/>
      </w:pPr>
      <w:r>
        <w:t xml:space="preserve">Fragility in decision and economic units.</w:t>
      </w:r>
    </w:p>
    <w:tbl>
      <w:tblPr>
        <w:tblStyle w:val="Table"/>
        <w:tblW w:type="pct" w:w="0.0"/>
        <w:tblLook w:firstRow="1"/>
        <w:tblCaption w:val="Fragility in decision and economic unit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Specifications flipping majority credit</w:t>
            </w:r>
            <w:r>
              <w:t xml:space="preserve"> </w:t>
            </w:r>
            <w:r>
              <w:rPr>
                <w:i/>
              </w:rPr>
              <w:t xml:space="preserve">band</w:t>
            </w:r>
            <w:r>
              <w:t xml:space="preserve"> </w:t>
            </w:r>
            <w:r>
              <w:t xml:space="preserve">verdict (pooled / determ.)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50% / 62.5%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Credit-band accuracy range, honored-determinism subgrid</w:t>
            </w:r>
          </w:p>
        </w:tc>
        <w:tc>
          <w:p>
            <w:pPr>
              <w:pStyle w:val="Compact"/>
              <w:jc w:val="right"/>
            </w:pPr>
            <w:r>
              <w:t xml:space="preserve">0.36–0.69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Permutation test, determinism subgrid</w:t>
            </w:r>
          </w:p>
        </w:tc>
        <w:tc>
          <w:p>
            <w:pPr>
              <w:pStyle w:val="Compact"/>
              <w:jc w:val="right"/>
            </w:pPr>
            <m:oMath>
              <m:r>
                <m:t>p</m:t>
              </m:r>
              <m:r>
                <m:t>=</m:t>
              </m:r>
              <m:r>
                <m:t>0.001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Within- vs cross-vendor agreement (band / letter)</w:t>
            </w:r>
          </w:p>
        </w:tc>
        <w:tc>
          <w:p>
            <w:pPr>
              <w:pStyle w:val="Compact"/>
              <w:jc w:val="right"/>
            </w:pPr>
            <w:r>
              <w:t xml:space="preserve">73.7/50.4</w:t>
            </w:r>
            <w:r>
              <w:t xml:space="preserve"> </w:t>
            </w:r>
            <m:oMath>
              <m:r>
                <m:t>⋅</m:t>
              </m:r>
            </m:oMath>
            <w:r>
              <w:t xml:space="preserve"> </w:t>
            </w:r>
            <w:r>
              <w:t xml:space="preserve">22.5/5.2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chance-corrected agreement (Fleiss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, IG/HY)</w:t>
            </w:r>
          </w:p>
        </w:tc>
        <w:tc>
          <w:p>
            <w:pPr>
              <w:pStyle w:val="Compact"/>
              <w:jc w:val="right"/>
            </w:pPr>
            <w:r>
              <w:t xml:space="preserve">0.46 (no scale</w:t>
            </w:r>
            <w:r>
              <w:t xml:space="preserve"> </w:t>
            </w:r>
            <m:oMath>
              <m:r>
                <m:t>≥</m:t>
              </m:r>
              <m:r>
                <m:t>0.6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Per-comparison IG/HY boundary flip</w:t>
            </w:r>
          </w:p>
        </w:tc>
        <w:tc>
          <w:p>
            <w:pPr>
              <w:pStyle w:val="Compact"/>
              <w:jc w:val="right"/>
            </w:pPr>
            <w:r>
              <w:t xml:space="preserve">26.8% (95% CI 20.9–32.5%)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turnover (modal-call instability)</w:t>
            </w:r>
          </w:p>
        </w:tc>
        <w:tc>
          <w:p>
            <w:pPr>
              <w:pStyle w:val="Compact"/>
              <w:jc w:val="right"/>
            </w:pPr>
            <w:r>
              <w:t xml:space="preserve">56.8% (95% CI 50.9–62.7%)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spread range per name (non-saturating / median)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261 /</w:t>
            </w:r>
            <w:r>
              <w:t xml:space="preserve"> </w:t>
            </w:r>
            <m:oMath>
              <m:r>
                <m:t>∼</m:t>
              </m:r>
            </m:oMath>
            <w:r>
              <w:t xml:space="preserve">860 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Pillar-1 capital range, same $45bn book (post-hoc cut)</w:t>
            </w:r>
          </w:p>
        </w:tc>
        <w:tc>
          <w:p>
            <w:pPr>
              <w:pStyle w:val="Compact"/>
              <w:jc w:val="right"/>
            </w:pPr>
            <w:r>
              <w:t xml:space="preserve">$2.0bn – $4.2bn</w:t>
            </w:r>
          </w:p>
        </w:tc>
      </w:tr>
    </w:tbl>
    <w:bookmarkEnd w:id="40"/>
    <w:p>
      <w:pPr>
        <w:pStyle w:val="Heading2"/>
      </w:pPr>
      <w:bookmarkStart w:id="41" w:name="Xa33e728f44c28050fdd1dafcb10bbd18646d8c5"/>
      <w:r>
        <w:t xml:space="preserve">Robustness on decontaminated real issuers</w:t>
      </w:r>
      <w:bookmarkEnd w:id="41"/>
    </w:p>
    <w:p>
      <w:pPr>
        <w:pStyle w:val="FirstParagraph"/>
      </w:pPr>
      <w:r>
        <w:t xml:space="preserve">The constructed battery provides the controlled context in which to identify elicitation instability, but</w:t>
      </w:r>
      <w:r>
        <w:t xml:space="preserve"> </w:t>
      </w:r>
      <w:r>
        <w:t xml:space="preserve">a key external-validity concern is whether similar behavior appears for real firms. Direct evaluation on</w:t>
      </w:r>
      <w:r>
        <w:t xml:space="preserve"> </w:t>
      </w:r>
      <w:r>
        <w:t xml:space="preserve">real issuers raises a further methodological problem: an LLM may recognize a company from publicly</w:t>
      </w:r>
      <w:r>
        <w:t xml:space="preserve"> </w:t>
      </w:r>
      <w:r>
        <w:t xml:space="preserve">available financial figures even when the company name is removed.</w:t>
      </w:r>
    </w:p>
    <w:p>
      <w:pPr>
        <w:pStyle w:val="BodyText"/>
      </w:pPr>
      <w:r>
        <w:t xml:space="preserve">We test this possibility first, before using real issuers as a robustness sample. When presented with anonymized</w:t>
      </w:r>
      <w:r>
        <w:t xml:space="preserve"> </w:t>
      </w:r>
      <w:r>
        <w:t xml:space="preserve">but otherwise unchanged financial profiles, Gemini-Flash correctly identifies about 22% of the selected</w:t>
      </w:r>
      <w:r>
        <w:t xml:space="preserve"> </w:t>
      </w:r>
      <w:r>
        <w:t xml:space="preserve">mid-cap issuers from their financial numbers alone. This shows that anonymizing the issuer name does not</w:t>
      </w:r>
      <w:r>
        <w:t xml:space="preserve"> </w:t>
      </w:r>
      <w:r>
        <w:t xml:space="preserve">guarantee that an LLM makes an independent credit assessment rather than relying on memorized issuer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The pre-registered fingerprinting gate lowered the issuer-identification rate from 22% to 2.9%, below</w:t>
      </w:r>
      <w:r>
        <w:t xml:space="preserve"> </w:t>
      </w:r>
      <w:r>
        <w:t xml:space="preserve">the pre-specified 5% threshold. The decontaminated firms are then rated on a frozen 12-specification grid</w:t>
      </w:r>
      <w:r>
        <w:t xml:space="preserve"> </w:t>
      </w:r>
      <w:r>
        <w:t xml:space="preserve">at three seeds, and the constructed battery is re-rated under exactly the same specification grid to</w:t>
      </w:r>
      <w:r>
        <w:t xml:space="preserve"> </w:t>
      </w:r>
      <w:r>
        <w:t xml:space="preserve">provide a matched comparison.</w:t>
      </w:r>
    </w:p>
    <w:p>
      <w:pPr>
        <w:pStyle w:val="BodyText"/>
      </w:pPr>
      <w:r>
        <w:t xml:space="preserve">The real-firm WATCH-stratum flip share is 0.226 (95% CI 0.147–0.308), relative to 0.318 (95% CI</w:t>
      </w:r>
      <w:r>
        <w:t xml:space="preserve"> </w:t>
      </w:r>
      <w:r>
        <w:t xml:space="preserve">0.223–0.406) for the matched constructed battery. The estimated difference is</w:t>
      </w:r>
      <w:r>
        <w:t xml:space="preserve"> </w:t>
      </w:r>
      <m:oMath>
        <m:r>
          <m:t>−</m:t>
        </m:r>
        <m:r>
          <m:t>0.091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t>−</m:t>
        </m:r>
        <m:r>
          <m:t>0.213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0.032</m:t>
        </m:r>
      </m:oMath>
      <w:r>
        <w:t xml:space="preserve">; Table </w:t>
      </w:r>
      <w:hyperlink w:anchor="tab:realarm">
        <w:r>
          <w:rPr>
            <w:rStyle w:val="Hyperlink"/>
          </w:rPr>
          <w:t xml:space="preserve">3</w:t>
        </w:r>
      </w:hyperlink>
      <w:r>
        <w:t xml:space="preserve">). The difference is not statistically distinguishable from zero;</w:t>
      </w:r>
      <w:r>
        <w:t xml:space="preserve"> </w:t>
      </w:r>
      <w:r>
        <w:t xml:space="preserve">however, the pre-registered two-one-sided-tests (TOST) equivalence test at the</w:t>
      </w:r>
      <w:r>
        <w:t xml:space="preserve"> </w:t>
      </w:r>
      <m:oMath>
        <m:r>
          <m:t>±</m:t>
        </m:r>
        <m:r>
          <m:t>0.15</m:t>
        </m:r>
      </m:oMath>
      <w:r>
        <w:t xml:space="preserve"> </w:t>
      </w:r>
      <w:r>
        <w:t xml:space="preserve">margin does not</w:t>
      </w:r>
      <w:r>
        <w:t xml:space="preserve"> </w:t>
      </w:r>
      <w:r>
        <w:t xml:space="preserve">establish quantitative equivalence (</w:t>
      </w:r>
      <m:oMath>
        <m:r>
          <m:t>p</m:t>
        </m:r>
        <m:r>
          <m:t>=</m:t>
        </m:r>
        <m:r>
          <m:t>0.179</m:t>
        </m:r>
      </m:oMath>
      <w:r>
        <w:t xml:space="preserve">), consistent with limited power at 16 real and 15 battery</w:t>
      </w:r>
      <w:r>
        <w:t xml:space="preserve"> </w:t>
      </w:r>
      <w:r>
        <w:t xml:space="preserve">WATCH observations.</w:t>
      </w:r>
    </w:p>
    <w:p>
      <w:pPr>
        <w:pStyle w:val="BodyText"/>
      </w:pPr>
      <w:r>
        <w:t xml:space="preserve">The appropriate conclusion is therefore narrower than numerical equivalence: substantial specification</w:t>
      </w:r>
      <w:r>
        <w:t xml:space="preserve"> </w:t>
      </w:r>
      <w:r>
        <w:t xml:space="preserve">instability remains observable in decontaminated real issuers under the same elicitation conditions. The</w:t>
      </w:r>
      <w:r>
        <w:t xml:space="preserve"> </w:t>
      </w:r>
      <w:r>
        <w:t xml:space="preserve">real-firm point estimate is somewhat lower than the matched battery’s, but the available sample is too</w:t>
      </w:r>
      <w:r>
        <w:t xml:space="preserve"> </w:t>
      </w:r>
      <w:r>
        <w:t xml:space="preserve">small to determine whether that difference is a stable population difference. As a separate descriptive</w:t>
      </w:r>
      <w:r>
        <w:t xml:space="preserve"> </w:t>
      </w:r>
      <w:r>
        <w:t xml:space="preserve">reference, machine-generated credit bands match the disclosed agency ratings about 54% of the time.</w:t>
      </w:r>
    </w:p>
    <w:bookmarkStart w:id="42" w:name="tab:realarm"/>
    <w:p>
      <w:pPr>
        <w:pStyle w:val="TableCaption"/>
      </w:pPr>
      <w:r>
        <w:t xml:space="preserve">Real-firm arm: 31 decontaminated business-to-business issuers, agency-rating benchmark.</w:t>
      </w:r>
    </w:p>
    <w:tbl>
      <w:tblPr>
        <w:tblStyle w:val="Table"/>
        <w:tblW w:type="pct" w:w="0.0"/>
        <w:tblLook w:firstRow="1"/>
        <w:tblCaption w:val="Real-firm arm: 31 decontaminated business-to-business issuers, agency-rating benchmark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Fingerprint identification, naive (exact figures)</w:t>
            </w:r>
          </w:p>
        </w:tc>
        <w:tc>
          <w:p>
            <w:pPr>
              <w:pStyle w:val="Compact"/>
              <w:jc w:val="right"/>
            </w:pPr>
            <w:r>
              <w:t xml:space="preserve">22%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Fingerprint identification, decontaminated (gate)</w:t>
            </w:r>
          </w:p>
        </w:tc>
        <w:tc>
          <w:p>
            <w:pPr>
              <w:pStyle w:val="Compact"/>
              <w:jc w:val="right"/>
            </w:pPr>
            <w:r>
              <w:t xml:space="preserve">2.9%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WATCH-stratum flip-share, real arm</w:t>
            </w:r>
          </w:p>
        </w:tc>
        <w:tc>
          <w:p>
            <w:pPr>
              <w:pStyle w:val="Compact"/>
              <w:jc w:val="right"/>
            </w:pPr>
            <w:r>
              <w:t xml:space="preserve">0.226 (0.147–0.308)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WATCH-stratum flip-share, battery (same 12 specs)</w:t>
            </w:r>
          </w:p>
        </w:tc>
        <w:tc>
          <w:p>
            <w:pPr>
              <w:pStyle w:val="Compact"/>
              <w:jc w:val="right"/>
            </w:pPr>
            <w:r>
              <w:t xml:space="preserve">0.318 (0.223–0.406)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Difference (real</w:t>
            </w:r>
            <w:r>
              <w:t xml:space="preserve"> </w:t>
            </w:r>
            <m:oMath>
              <m:r>
                <m:t>−</m:t>
              </m:r>
            </m:oMath>
            <w:r>
              <w:t xml:space="preserve"> </w:t>
            </w:r>
            <w:r>
              <w:t xml:space="preserve">battery), 95% CI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0.091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−</m:t>
              </m:r>
              <m:r>
                <m:t>0.213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0.032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Equivalence test (TOST,</w:t>
            </w:r>
            <w:r>
              <w:t xml:space="preserve"> </w:t>
            </w:r>
            <m:oMath>
              <m:r>
                <m:t>±</m:t>
              </m:r>
              <m:r>
                <m:t>0.15</m:t>
              </m:r>
            </m:oMath>
            <w:r>
              <w:t xml:space="preserve"> </w:t>
            </w:r>
            <w:r>
              <w:t xml:space="preserve">margin)</w:t>
            </w:r>
          </w:p>
        </w:tc>
        <w:tc>
          <w:p>
            <w:pPr>
              <w:pStyle w:val="Compact"/>
              <w:jc w:val="right"/>
            </w:pPr>
            <m:oMath>
              <m:r>
                <m:t>p</m:t>
              </m:r>
              <m:r>
                <m:t>=</m:t>
              </m:r>
              <m:r>
                <m:t>0.179</m:t>
              </m:r>
            </m:oMath>
            <w:r>
              <w:t xml:space="preserve"> </w:t>
            </w:r>
            <w:r>
              <w:t xml:space="preserve">(not established; underpowered)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right"/>
            </w:pPr>
            <w:r>
              <w:t xml:space="preserve">substantial instability persists; equivalence not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band vs. disclosed agency rating (descriptive)</w:t>
            </w:r>
          </w:p>
        </w:tc>
        <w:tc>
          <w:p>
            <w:pPr>
              <w:pStyle w:val="Compact"/>
              <w:jc w:val="right"/>
            </w:pPr>
            <w:r>
              <w:t xml:space="preserve">54%</w:t>
            </w:r>
          </w:p>
        </w:tc>
      </w:tr>
    </w:tbl>
    <w:bookmarkEnd w:id="42"/>
    <w:p>
      <w:pPr>
        <w:pStyle w:val="Heading1"/>
      </w:pPr>
      <w:bookmarkStart w:id="43" w:name="discussion"/>
      <w:r>
        <w:t xml:space="preserve">Discussion</w:t>
      </w:r>
      <w:bookmarkEnd w:id="43"/>
    </w:p>
    <w:p>
      <w:pPr>
        <w:pStyle w:val="FirstParagraph"/>
      </w:pPr>
      <w:r>
        <w:t xml:space="preserve">We examine whether an LLM-generated credit rating can be treated as a stable assessment of a firm’s</w:t>
      </w:r>
      <w:r>
        <w:t xml:space="preserve"> </w:t>
      </w:r>
      <w:r>
        <w:t xml:space="preserve">financial health or whether it depends heavily on how that measure is elicited. The main finding of the</w:t>
      </w:r>
      <w:r>
        <w:t xml:space="preserve"> </w:t>
      </w:r>
      <w:r>
        <w:t xml:space="preserve">pre-registered specification curve is that substantial instability remains even after controlling for the</w:t>
      </w:r>
      <w:r>
        <w:t xml:space="preserve"> </w:t>
      </w:r>
      <w:r>
        <w:t xml:space="preserve">underlying financial information. As expected, firm characteristics explain most of the total variation</w:t>
      </w:r>
      <w:r>
        <w:t xml:space="preserve"> </w:t>
      </w:r>
      <w:r>
        <w:t xml:space="preserve">in ratings, but the residual variation due to elicitation and repeated calls is large enough to change</w:t>
      </w:r>
      <w:r>
        <w:t xml:space="preserve"> </w:t>
      </w:r>
      <w:r>
        <w:t xml:space="preserve">economically meaningful decisions.</w:t>
      </w:r>
    </w:p>
    <w:p>
      <w:pPr>
        <w:pStyle w:val="BodyText"/>
      </w:pPr>
      <w:r>
        <w:t xml:space="preserve">The variance decomposition clarifies the origin of this instability. No single controllable design choice</w:t>
      </w:r>
      <w:r>
        <w:t xml:space="preserve"> </w:t>
      </w:r>
      <w:r>
        <w:t xml:space="preserve">explains more than</w:t>
      </w:r>
      <w:r>
        <w:t xml:space="preserve"> </w:t>
      </w:r>
      <m:oMath>
        <m:r>
          <m:t>∼</m:t>
        </m:r>
      </m:oMath>
      <w:r>
        <w:t xml:space="preserve">5% of rating variance, whereas residual run-to-run variation accounts for about</w:t>
      </w:r>
      <w:r>
        <w:t xml:space="preserve"> </w:t>
      </w:r>
      <w:r>
        <w:t xml:space="preserve">a quarter of the total. This distinction matters because it implies that the instability cannot be</w:t>
      </w:r>
      <w:r>
        <w:t xml:space="preserve"> </w:t>
      </w:r>
      <w:r>
        <w:t xml:space="preserve">resolved by selecting a preferred prompt formulation, output format, temperature, or provider. No single</w:t>
      </w:r>
      <w:r>
        <w:t xml:space="preserve"> </w:t>
      </w:r>
      <w:r>
        <w:t xml:space="preserve">elicitation parameter dominates the observed instability; instead, the same financial</w:t>
      </w:r>
      <w:r>
        <w:t xml:space="preserve"> </w:t>
      </w:r>
      <w:r>
        <w:t xml:space="preserve">information can produce meaningfully different credit assessments under multiple reasonable</w:t>
      </w:r>
      <w:r>
        <w:t xml:space="preserve"> </w:t>
      </w:r>
      <w:r>
        <w:t xml:space="preserve">specifications.</w:t>
      </w:r>
    </w:p>
    <w:p>
      <w:pPr>
        <w:pStyle w:val="BodyText"/>
      </w:pPr>
      <w:r>
        <w:t xml:space="preserve">The real-issuer experiment complements, rather than substitutes for, this identification strategy.</w:t>
      </w:r>
      <w:r>
        <w:t xml:space="preserve"> </w:t>
      </w:r>
      <w:r>
        <w:t xml:space="preserve">Crucially, it first demonstrates that direct evaluation on anonymized real firms is not automatically</w:t>
      </w:r>
      <w:r>
        <w:t xml:space="preserve"> </w:t>
      </w:r>
      <w:r>
        <w:t xml:space="preserve">clean: a model identifies around 22% of the unperturbed issuers from financial information alone. After</w:t>
      </w:r>
      <w:r>
        <w:t xml:space="preserve"> </w:t>
      </w:r>
      <w:r>
        <w:t xml:space="preserve">issuer-specific scaling and screening, the fingerprint rate falls to 2.9%, and substantial</w:t>
      </w:r>
      <w:r>
        <w:t xml:space="preserve"> </w:t>
      </w:r>
      <w:r>
        <w:t xml:space="preserve">specification instability is still observed in the real-firm arm under this decontamination gate. The</w:t>
      </w:r>
      <w:r>
        <w:t xml:space="preserve"> </w:t>
      </w:r>
      <w:r>
        <w:t xml:space="preserve">real and constructed WATCH estimates are not shown to be quantitatively equivalent, and the sample is too</w:t>
      </w:r>
      <w:r>
        <w:t xml:space="preserve"> </w:t>
      </w:r>
      <w:r>
        <w:t xml:space="preserve">small to support such a claim; nevertheless, the qualitative pattern persists and suggests that the main</w:t>
      </w:r>
      <w:r>
        <w:t xml:space="preserve"> </w:t>
      </w:r>
      <w:r>
        <w:t xml:space="preserve">finding is not confined to the controlled battery.</w:t>
      </w:r>
    </w:p>
    <w:p>
      <w:pPr>
        <w:pStyle w:val="BodyText"/>
      </w:pPr>
      <w:r>
        <w:t xml:space="preserve">The fingerprinting result also has implications beyond the credit-rating experiment at hand. Public</w:t>
      </w:r>
      <w:r>
        <w:t xml:space="preserve"> </w:t>
      </w:r>
      <w:r>
        <w:t xml:space="preserve">companies’ financial information is widely disseminated and may have been included in the training data</w:t>
      </w:r>
      <w:r>
        <w:t xml:space="preserve"> </w:t>
      </w:r>
      <w:r>
        <w:t xml:space="preserve">of general-purpose LLMs. Removing company names does not necessarily remove issuer identity from an</w:t>
      </w:r>
      <w:r>
        <w:t xml:space="preserve"> </w:t>
      </w:r>
      <w:r>
        <w:t xml:space="preserve">evaluation: if a model can infer the issuer from the precise financial numbers, then a judgment that</w:t>
      </w:r>
      <w:r>
        <w:t xml:space="preserve"> </w:t>
      </w:r>
      <w:r>
        <w:t xml:space="preserve">appears to be based on the inputs may also draw on memorized information about that company. Perturbation</w:t>
      </w:r>
      <w:r>
        <w:t xml:space="preserve"> </w:t>
      </w:r>
      <w:r>
        <w:t xml:space="preserve">combined with explicit identification testing is a practical way to mitigate this risk when evaluating</w:t>
      </w:r>
      <w:r>
        <w:t xml:space="preserve"> </w:t>
      </w:r>
      <w:r>
        <w:t xml:space="preserve">LLMs on public financial entities.</w:t>
      </w:r>
    </w:p>
    <w:p>
      <w:pPr>
        <w:pStyle w:val="BodyText"/>
      </w:pPr>
      <w:r>
        <w:t xml:space="preserve">Taken together, the results suggest that a credit rating produced by an LLM should not be interpreted as a</w:t>
      </w:r>
      <w:r>
        <w:t xml:space="preserve"> </w:t>
      </w:r>
      <w:r>
        <w:t xml:space="preserve">specification-invariant point estimate. Each response is one realization from a broader distribution induced</w:t>
      </w:r>
      <w:r>
        <w:t xml:space="preserve"> </w:t>
      </w:r>
      <w:r>
        <w:t xml:space="preserve">by the elicitation procedure. This does not imply that LLMs cannot contribute to credit analysis, and the</w:t>
      </w:r>
      <w:r>
        <w:t xml:space="preserve"> </w:t>
      </w:r>
      <w:r>
        <w:t xml:space="preserve">present study does not assess whether their ratings are more or less accurate than established</w:t>
      </w:r>
      <w:r>
        <w:t xml:space="preserve"> </w:t>
      </w:r>
      <w:r>
        <w:t xml:space="preserve">credit-assessment methods. Rather, a prerequisite for reliable use is to characterize the uncertainty</w:t>
      </w:r>
      <w:r>
        <w:t xml:space="preserve"> </w:t>
      </w:r>
      <w:r>
        <w:t xml:space="preserve">associated with reasonable elicitation choices before treating a point rating as a stable model output.</w:t>
      </w:r>
    </w:p>
    <w:p>
      <w:pPr>
        <w:pStyle w:val="BodyText"/>
      </w:pPr>
      <w:r>
        <w:t xml:space="preserve">This interpretation ties directly to model-risk management. Model outputs used in consequential financial</w:t>
      </w:r>
      <w:r>
        <w:t xml:space="preserve"> </w:t>
      </w:r>
      <w:r>
        <w:t xml:space="preserve">decisions are generally expected to be validated and their uncertainty and limitations understood</w:t>
      </w:r>
      <w:r>
        <w:t xml:space="preserve"> </w:t>
      </w:r>
      <w:r>
        <w:t xml:space="preserve">[33]. Our results suggest that, for LLM-based credit assessment, the elicitation</w:t>
      </w:r>
      <w:r>
        <w:t xml:space="preserve"> </w:t>
      </w:r>
      <w:r>
        <w:t xml:space="preserve">specification itself should be part of that uncertainty assessment. Reporting a single rating without</w:t>
      </w:r>
      <w:r>
        <w:t xml:space="preserve"> </w:t>
      </w:r>
      <w:r>
        <w:t xml:space="preserve">evaluating its sensitivity to plausible specifications can convey a false sense of precision. Repeated</w:t>
      </w:r>
      <w:r>
        <w:t xml:space="preserve"> </w:t>
      </w:r>
      <w:r>
        <w:t xml:space="preserve">elicitation, related stability diagnostics, or specification curves therefore provide a more informative</w:t>
      </w:r>
      <w:r>
        <w:t xml:space="preserve"> </w:t>
      </w:r>
      <w:r>
        <w:t xml:space="preserve">representation of machine-generated credit opinions than a single prompted response.</w:t>
      </w:r>
    </w:p>
    <w:p>
      <w:pPr>
        <w:pStyle w:val="Heading2"/>
      </w:pPr>
      <w:bookmarkStart w:id="44" w:name="limitations"/>
      <w:r>
        <w:t xml:space="preserve">Limitations</w:t>
      </w:r>
      <w:bookmarkEnd w:id="44"/>
    </w:p>
    <w:p>
      <w:pPr>
        <w:pStyle w:val="FirstParagraph"/>
      </w:pPr>
      <w:r>
        <w:t xml:space="preserve">These findings have several limitations that bound their scope. First, the study considers three model</w:t>
      </w:r>
      <w:r>
        <w:t xml:space="preserve"> </w:t>
      </w:r>
      <w:r>
        <w:t xml:space="preserve">families and the specific model snapshots and configurations included in the pre-registered design; the</w:t>
      </w:r>
      <w:r>
        <w:t xml:space="preserve"> </w:t>
      </w:r>
      <w:r>
        <w:t xml:space="preserve">results should therefore be viewed as evidence of how the evaluated systems behave, not as a universal</w:t>
      </w:r>
      <w:r>
        <w:t xml:space="preserve"> </w:t>
      </w:r>
      <w:r>
        <w:t xml:space="preserve">numerical estimate for all current or future LLMs. One earlier-version xAI snapshot returned no usable</w:t>
      </w:r>
      <w:r>
        <w:t xml:space="preserve"> </w:t>
      </w:r>
      <w:r>
        <w:t xml:space="preserve">content and is retained as a documented dead cell rather than imputed.</w:t>
      </w:r>
    </w:p>
    <w:p>
      <w:pPr>
        <w:pStyle w:val="BodyText"/>
      </w:pPr>
      <w:r>
        <w:t xml:space="preserve">Second, the main identification sample is a fixed 90-item constructed battery, with 45 profiles in the</w:t>
      </w:r>
      <w:r>
        <w:t xml:space="preserve"> </w:t>
      </w:r>
      <w:r>
        <w:t xml:space="preserve">credit-health task and 45 in the directional task. Repeated specifications increase coverage of the</w:t>
      </w:r>
      <w:r>
        <w:t xml:space="preserve"> </w:t>
      </w:r>
      <w:r>
        <w:t xml:space="preserve">elicitation space but not the number of independent underlying firm profiles, so the flip rates and</w:t>
      </w:r>
      <w:r>
        <w:t xml:space="preserve"> </w:t>
      </w:r>
      <w:r>
        <w:t xml:space="preserve">variance estimates remain sample statistics for the battery considered.</w:t>
      </w:r>
    </w:p>
    <w:p>
      <w:pPr>
        <w:pStyle w:val="BodyText"/>
      </w:pPr>
      <w:r>
        <w:t xml:space="preserve">Third, the real-firm arm comprises 31 U.S. mid-cap business-to-business issuers selected under the</w:t>
      </w:r>
      <w:r>
        <w:t xml:space="preserve"> </w:t>
      </w:r>
      <w:r>
        <w:t xml:space="preserve">decontamination design. This sample checks external validity but is much smaller than the controlled</w:t>
      </w:r>
      <w:r>
        <w:t xml:space="preserve"> </w:t>
      </w:r>
      <w:r>
        <w:t xml:space="preserve">battery at the relevant strata; in particular, the WATCH-stratum comparison lacks the power to detect the</w:t>
      </w:r>
      <w:r>
        <w:t xml:space="preserve"> </w:t>
      </w:r>
      <w:r>
        <w:t xml:space="preserve">pre-specified equivalence margin, and quantitative equivalence between the constructed and real-firm</w:t>
      </w:r>
      <w:r>
        <w:t xml:space="preserve"> </w:t>
      </w:r>
      <w:r>
        <w:t xml:space="preserve">estimates is not established.</w:t>
      </w:r>
    </w:p>
    <w:p>
      <w:pPr>
        <w:pStyle w:val="BodyText"/>
      </w:pPr>
      <w:r>
        <w:t xml:space="preserve">Fourth, the study measures stability, not absolute credit-rating capability. The Altman Z</w:t>
      </w:r>
      <m:oMath>
        <m:r>
          <m:t>″</m:t>
        </m:r>
      </m:oMath>
      <w:r>
        <w:t xml:space="preserve"> </w:t>
      </w:r>
      <w:r>
        <w:t xml:space="preserve">mapping</w:t>
      </w:r>
      <w:r>
        <w:t xml:space="preserve"> </w:t>
      </w:r>
      <w:r>
        <w:t xml:space="preserve">provides a pre-specified accounting-based benchmark for constructing and evaluating the controlled</w:t>
      </w:r>
      <w:r>
        <w:t xml:space="preserve"> </w:t>
      </w:r>
      <w:r>
        <w:t xml:space="preserve">credit-health battery, while disclosed agency ratings provide an alternative descriptive reference;</w:t>
      </w:r>
      <w:r>
        <w:t xml:space="preserve"> </w:t>
      </w:r>
      <w:r>
        <w:t xml:space="preserve">neither is treated as a unique ground-truth credit opinion. Whether generative models can produce more</w:t>
      </w:r>
      <w:r>
        <w:t xml:space="preserve"> </w:t>
      </w:r>
      <w:r>
        <w:t xml:space="preserve">accurate credit assessments than established statistical, market-based, or agency methods is a separate</w:t>
      </w:r>
      <w:r>
        <w:t xml:space="preserve"> </w:t>
      </w:r>
      <w:r>
        <w:t xml:space="preserve">research question.</w:t>
      </w:r>
    </w:p>
    <w:p>
      <w:pPr>
        <w:pStyle w:val="BodyText"/>
      </w:pPr>
      <w:r>
        <w:t xml:space="preserve">Finally, the spread and regulatory-capital translations are post-hoc calibrations that express observed</w:t>
      </w:r>
      <w:r>
        <w:t xml:space="preserve"> </w:t>
      </w:r>
      <w:r>
        <w:t xml:space="preserve">rating dispersion in economically interpretable units. They are not pre-registered tests and are not</w:t>
      </w:r>
      <w:r>
        <w:t xml:space="preserve"> </w:t>
      </w:r>
      <w:r>
        <w:t xml:space="preserve">intended as simulations of a real regulatory or institutional implementation. Within these bounds, the</w:t>
      </w:r>
      <w:r>
        <w:t xml:space="preserve"> </w:t>
      </w:r>
      <w:r>
        <w:t xml:space="preserve">main stability finding is robust across the specification curve, the deterministic subgrid, the provider</w:t>
      </w:r>
      <w:r>
        <w:t xml:space="preserve"> </w:t>
      </w:r>
      <w:r>
        <w:t xml:space="preserve">comparison, the rating-resolution analysis, and the decontaminated real-firm arm.</w:t>
      </w:r>
    </w:p>
    <w:p>
      <w:pPr>
        <w:pStyle w:val="Heading2"/>
      </w:pPr>
      <w:bookmarkStart w:id="45" w:name="future-work"/>
      <w:r>
        <w:t xml:space="preserve">Future work</w:t>
      </w:r>
      <w:bookmarkEnd w:id="45"/>
    </w:p>
    <w:p>
      <w:pPr>
        <w:pStyle w:val="FirstParagraph"/>
      </w:pPr>
      <w:r>
        <w:t xml:space="preserve">The present design suggests several extensions. Larger and sector-stratified real-issuer samples would</w:t>
      </w:r>
      <w:r>
        <w:t xml:space="preserve"> </w:t>
      </w:r>
      <w:r>
        <w:t xml:space="preserve">yield more precise estimates of how specification instability varies with firm characteristics and</w:t>
      </w:r>
      <w:r>
        <w:t xml:space="preserve"> </w:t>
      </w:r>
      <w:r>
        <w:t xml:space="preserve">distance from rating boundaries. Similar designs could test retrieval-augmented or tool-using credit</w:t>
      </w:r>
      <w:r>
        <w:t xml:space="preserve"> </w:t>
      </w:r>
      <w:r>
        <w:t xml:space="preserve">agents, where access to external information may reduce some forms of uncertainty while adding further</w:t>
      </w:r>
      <w:r>
        <w:t xml:space="preserve"> </w:t>
      </w:r>
      <w:r>
        <w:t xml:space="preserve">specification choices. Human-in-the-loop workflows could also be explored to determine whether providing</w:t>
      </w:r>
      <w:r>
        <w:t xml:space="preserve"> </w:t>
      </w:r>
      <w:r>
        <w:t xml:space="preserve">analysts with distributions of machine ratings or specification curves leads to more reliable decisions</w:t>
      </w:r>
      <w:r>
        <w:t xml:space="preserve"> </w:t>
      </w:r>
      <w:r>
        <w:t xml:space="preserve">than a single model-generated assessment. More broadly, the decontamination procedure could be applied to</w:t>
      </w:r>
      <w:r>
        <w:t xml:space="preserve"> </w:t>
      </w:r>
      <w:r>
        <w:t xml:space="preserve">other evaluations of financial LLMs involving publicly documented entities: explicitly testing whether an</w:t>
      </w:r>
      <w:r>
        <w:t xml:space="preserve"> </w:t>
      </w:r>
      <w:r>
        <w:t xml:space="preserve">ostensibly anonymized case remains identifiable, in tasks such as risk assessment, valuation, investment</w:t>
      </w:r>
      <w:r>
        <w:t xml:space="preserve"> </w:t>
      </w:r>
      <w:r>
        <w:t xml:space="preserve">recommendation, and supervisory analysis, may help separate independent reasoning from memorized entity</w:t>
      </w:r>
      <w:r>
        <w:t xml:space="preserve"> </w:t>
      </w:r>
      <w:r>
        <w:t xml:space="preserve">knowledge.</w:t>
      </w:r>
    </w:p>
    <w:p>
      <w:pPr>
        <w:pStyle w:val="Heading1"/>
      </w:pPr>
      <w:bookmarkStart w:id="46" w:name="conclusion"/>
      <w:r>
        <w:t xml:space="preserve">Conclusion</w:t>
      </w:r>
      <w:bookmarkEnd w:id="46"/>
    </w:p>
    <w:p>
      <w:pPr>
        <w:pStyle w:val="FirstParagraph"/>
      </w:pPr>
      <w:r>
        <w:t xml:space="preserve">This study shows that reproducibility in AI-assisted credit assessment cannot be taken for granted from a</w:t>
      </w:r>
      <w:r>
        <w:t xml:space="preserve"> </w:t>
      </w:r>
      <w:r>
        <w:t xml:space="preserve">single elicitation. Across a pre-registered specification curve, firm fundamentals explain most of the</w:t>
      </w:r>
      <w:r>
        <w:t xml:space="preserve"> </w:t>
      </w:r>
      <w:r>
        <w:t xml:space="preserve">total variation in machine-generated ratings, but substantial specification- and run-level instability</w:t>
      </w:r>
      <w:r>
        <w:t xml:space="preserve"> </w:t>
      </w:r>
      <w:r>
        <w:t xml:space="preserve">remains after controlling for the underlying financial information. No single controllable elicitation</w:t>
      </w:r>
      <w:r>
        <w:t xml:space="preserve"> </w:t>
      </w:r>
      <w:r>
        <w:t xml:space="preserve">choice explains much of this variation, and the instability persists even when the analysis is limited to</w:t>
      </w:r>
      <w:r>
        <w:t xml:space="preserve"> </w:t>
      </w:r>
      <w:r>
        <w:t xml:space="preserve">verified deterministic execution.</w:t>
      </w:r>
    </w:p>
    <w:p>
      <w:pPr>
        <w:pStyle w:val="BodyText"/>
      </w:pPr>
      <w:r>
        <w:t xml:space="preserve">These results are not evidence that LLMs are accurate credit raters, and they do not imply that all</w:t>
      </w:r>
      <w:r>
        <w:t xml:space="preserve"> </w:t>
      </w:r>
      <w:r>
        <w:t xml:space="preserve">current or future models will exhibit the same level of instability. For the systems studied here they</w:t>
      </w:r>
      <w:r>
        <w:t xml:space="preserve"> </w:t>
      </w:r>
      <w:r>
        <w:t xml:space="preserve">make a more basic point: the elicitation procedure is part of the measurement. Unless stability with</w:t>
      </w:r>
      <w:r>
        <w:t xml:space="preserve"> </w:t>
      </w:r>
      <w:r>
        <w:t xml:space="preserve">respect to reasonable elicitation choices has been demonstrated, a machine-generated credit rating should</w:t>
      </w:r>
      <w:r>
        <w:t xml:space="preserve"> </w:t>
      </w:r>
      <w:r>
        <w:t xml:space="preserve">not be treated as a specification-independent point estimate. In AI-assisted credit analysis, the outcome</w:t>
      </w:r>
      <w:r>
        <w:t xml:space="preserve"> </w:t>
      </w:r>
      <w:r>
        <w:t xml:space="preserve">includes the specification.</w:t>
      </w:r>
    </w:p>
    <w:p>
      <w:pPr>
        <w:pStyle w:val="Heading1"/>
      </w:pPr>
      <w:bookmarkStart w:id="47" w:name="methods"/>
      <w:r>
        <w:t xml:space="preserve">Methods</w:t>
      </w:r>
      <w:bookmarkEnd w:id="47"/>
    </w:p>
    <w:p>
      <w:pPr>
        <w:pStyle w:val="Heading2"/>
      </w:pPr>
      <w:bookmarkStart w:id="48" w:name="design-battery-and-benchmark"/>
      <w:r>
        <w:t xml:space="preserve">Design, battery, and benchmark</w:t>
      </w:r>
      <w:bookmarkEnd w:id="48"/>
    </w:p>
    <w:p>
      <w:pPr>
        <w:pStyle w:val="FirstParagraph"/>
      </w:pPr>
      <w:r>
        <w:t xml:space="preserve">The study is designed to measure</w:t>
      </w:r>
      <w:r>
        <w:t xml:space="preserve"> </w:t>
      </w:r>
      <w:r>
        <w:rPr>
          <w:i/>
        </w:rPr>
        <w:t xml:space="preserve">elicitation stability</w:t>
      </w:r>
      <w:r>
        <w:t xml:space="preserve">: whether an LLM produces a credit</w:t>
      </w:r>
      <w:r>
        <w:t xml:space="preserve"> </w:t>
      </w:r>
      <w:r>
        <w:t xml:space="preserve">assessment that is consistent when the underlying financial information is held constant but reasonable</w:t>
      </w:r>
      <w:r>
        <w:t xml:space="preserve"> </w:t>
      </w:r>
      <w:r>
        <w:t xml:space="preserve">choices in how the assessment is elicited vary. The aim is therefore not to estimate rating accuracy on a</w:t>
      </w:r>
      <w:r>
        <w:t xml:space="preserve"> </w:t>
      </w:r>
      <w:r>
        <w:t xml:space="preserve">naturally occurring population of firms, but to isolate variation attributable to the elicitation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We use a constructed battery as the main identification environment because it allows firm fundamentals</w:t>
      </w:r>
      <w:r>
        <w:t xml:space="preserve"> </w:t>
      </w:r>
      <w:r>
        <w:t xml:space="preserve">to be held fixed while the elicitation specification varies, permits balanced representation across</w:t>
      </w:r>
      <w:r>
        <w:t xml:space="preserve"> </w:t>
      </w:r>
      <w:r>
        <w:t xml:space="preserve">credit-health conditions, and provides a benchmark that can be computed before any model is queried.</w:t>
      </w:r>
      <w:r>
        <w:t xml:space="preserve"> </w:t>
      </w:r>
      <w:r>
        <w:t xml:space="preserve">Restricting the analysis to public companies would introduce a further source of uncertainty,</w:t>
      </w:r>
      <w:r>
        <w:t xml:space="preserve"> </w:t>
      </w:r>
      <w:r>
        <w:t xml:space="preserve">because an LLM might identify an issuer from financial information it was exposed to during training. We</w:t>
      </w:r>
      <w:r>
        <w:t xml:space="preserve"> </w:t>
      </w:r>
      <w:r>
        <w:t xml:space="preserve">therefore use the controlled battery for the main analysis and a separately decontaminated real-firm</w:t>
      </w:r>
      <w:r>
        <w:t xml:space="preserve"> </w:t>
      </w:r>
      <w:r>
        <w:t xml:space="preserve">sample for a complementary external-validity test.</w:t>
      </w:r>
    </w:p>
    <w:p>
      <w:pPr>
        <w:pStyle w:val="BodyText"/>
      </w:pPr>
      <w:r>
        <w:t xml:space="preserve">The battery consists of 90 fixed firm-quarter profiles. Each profile is summarized in a compact financial</w:t>
      </w:r>
      <w:r>
        <w:t xml:space="preserve"> </w:t>
      </w:r>
      <w:r>
        <w:t xml:space="preserve">statement, including revenue, EBIT, total assets and liabilities, equity, working-capital figures, and</w:t>
      </w:r>
      <w:r>
        <w:t xml:space="preserve"> </w:t>
      </w:r>
      <w:r>
        <w:t xml:space="preserve">retained earnings. The profiles comprise two equally sized task families: 45 credit-health items, for</w:t>
      </w:r>
      <w:r>
        <w:t xml:space="preserve"> </w:t>
      </w:r>
      <w:r>
        <w:t xml:space="preserve">which the model produces a credit rating, and 45 directional items, for which the model produces a</w:t>
      </w:r>
      <w:r>
        <w:t xml:space="preserve"> </w:t>
      </w:r>
      <w:r>
        <w:t xml:space="preserve">buy/hold/sell call. All credit-rating agreement and investment-grade/high-yield analyses use the 45</w:t>
      </w:r>
      <w:r>
        <w:t xml:space="preserve"> </w:t>
      </w:r>
      <w:r>
        <w:t xml:space="preserve">credit-health profiles; the directional profiles are used only for the portfolio-turnover translation.</w:t>
      </w:r>
    </w:p>
    <w:p>
      <w:pPr>
        <w:pStyle w:val="BodyText"/>
      </w:pPr>
      <w:r>
        <w:t xml:space="preserve">For the credit-health task, each profile is associated with a pre-specified Altman Z</w:t>
      </w:r>
      <m:oMath>
        <m:r>
          <m:t>″</m:t>
        </m:r>
      </m:oMath>
      <w:r>
        <w:t xml:space="preserve"> </w:t>
      </w:r>
      <w:r>
        <w:t xml:space="preserve">accounting-based</w:t>
      </w:r>
      <w:r>
        <w:t xml:space="preserve"> </w:t>
      </w:r>
      <w:r>
        <w:t xml:space="preserve">reference [8], computed with coefficients 6.56, 3.26, 6.72, and 1.05 and cutoffs 2.60 and</w:t>
      </w:r>
      <w:r>
        <w:t xml:space="preserve"> </w:t>
      </w:r>
      <w:r>
        <w:t xml:space="preserve">1.10. The resulting safe, watch, and distress strata each contain 15 observations, evenly distributed</w:t>
      </w:r>
      <w:r>
        <w:t xml:space="preserve"> </w:t>
      </w:r>
      <w:r>
        <w:t xml:space="preserve">across the 45 credit-health profiles. The Altman mapping provides a deterministic accounting reference</w:t>
      </w:r>
      <w:r>
        <w:t xml:space="preserve"> </w:t>
      </w:r>
      <w:r>
        <w:t xml:space="preserve">for constructing and stratifying the controlled battery and is not treated as a unique ground-truth</w:t>
      </w:r>
      <w:r>
        <w:t xml:space="preserve"> </w:t>
      </w:r>
      <w:r>
        <w:t xml:space="preserve">agency rating, because our interest is stability across elicitation specifications rather than absolute</w:t>
      </w:r>
      <w:r>
        <w:t xml:space="preserve"> </w:t>
      </w:r>
      <w:r>
        <w:t xml:space="preserve">rating accuracy. The benchmark and battery were frozen under a pre-registration hash before any model</w:t>
      </w:r>
      <w:r>
        <w:t xml:space="preserve"> </w:t>
      </w:r>
      <w:r>
        <w:t xml:space="preserve">query, and an independent post-hoc re-execution from the frozen financial facts reproduces all 45</w:t>
      </w:r>
      <w:r>
        <w:t xml:space="preserve"> </w:t>
      </w:r>
      <w:r>
        <w:t xml:space="preserve">benchmark classifications.</w:t>
      </w:r>
    </w:p>
    <w:p>
      <w:pPr>
        <w:pStyle w:val="Heading2"/>
      </w:pPr>
      <w:bookmarkStart w:id="49" w:name="specification-grid-and-data-collection"/>
      <w:r>
        <w:t xml:space="preserve">Specification grid and data collection</w:t>
      </w:r>
      <w:bookmarkEnd w:id="49"/>
    </w:p>
    <w:p>
      <w:pPr>
        <w:pStyle w:val="FirstParagraph"/>
      </w:pPr>
      <w:r>
        <w:t xml:space="preserve">We manipulate seven researcher-controlled elicitation dimensions: model provider (OpenAI, Google, xAI),</w:t>
      </w:r>
      <w:r>
        <w:t xml:space="preserve"> </w:t>
      </w:r>
      <w:r>
        <w:t xml:space="preserve">model version (a current and a prior snapshot per provider), temperature (0 or 1.0), prompt paraphrase</w:t>
      </w:r>
      <w:r>
        <w:t xml:space="preserve"> </w:t>
      </w:r>
      <w:r>
        <w:t xml:space="preserve">(three semantically equivalent formulations), output format (JSON or free-text), few-shot exemplars (zero</w:t>
      </w:r>
      <w:r>
        <w:t xml:space="preserve"> </w:t>
      </w:r>
      <w:r>
        <w:t xml:space="preserve">or two), and answer presentation (original prose versus a table with reversed option ordering). A</w:t>
      </w:r>
      <w:r>
        <w:t xml:space="preserve"> </w:t>
      </w:r>
      <w:r>
        <w:t xml:space="preserve">balance-constrained D-optimal fractional design of 48 specifications was generated from an effect-coded</w:t>
      </w:r>
      <w:r>
        <w:t xml:space="preserve"> </w:t>
      </w:r>
      <w:r>
        <w:t xml:space="preserve">main-effects model with the design seed frozen in advance. Each specification was evaluated over three</w:t>
      </w:r>
      <w:r>
        <w:t xml:space="preserve"> </w:t>
      </w:r>
      <w:r>
        <w:t xml:space="preserve">seeds. Provider metadata were preserved as returned, including effective generation settings where</w:t>
      </w:r>
      <w:r>
        <w:t xml:space="preserve"> </w:t>
      </w:r>
      <w:r>
        <w:t xml:space="preserve">available; the requested temperature of 0 was not uniformly honored by providers.</w:t>
      </w:r>
    </w:p>
    <w:p>
      <w:pPr>
        <w:pStyle w:val="BodyText"/>
      </w:pPr>
      <w:r>
        <w:t xml:space="preserve">The complete planned experiment therefore comprises</w:t>
      </w:r>
      <w:r>
        <w:t xml:space="preserve"> </w:t>
      </w:r>
      <m:oMath>
        <m:r>
          <m:t>90</m:t>
        </m:r>
        <m:r>
          <m:t>×</m:t>
        </m:r>
        <m:r>
          <m:t>48</m:t>
        </m:r>
        <m:r>
          <m:t>×</m:t>
        </m:r>
        <m:r>
          <m:t>3</m:t>
        </m:r>
        <m:r>
          <m:t>=</m:t>
        </m:r>
        <m:r>
          <m:t>12</m:t>
        </m:r>
        <m:r>
          <m:t>,</m:t>
        </m:r>
        <m:r>
          <m:t>960</m:t>
        </m:r>
      </m:oMath>
      <w:r>
        <w:t xml:space="preserve"> </w:t>
      </w:r>
      <w:r>
        <w:t xml:space="preserve">elicitation cells, of which</w:t>
      </w:r>
      <w:r>
        <w:t xml:space="preserve"> </w:t>
      </w:r>
      <w:r>
        <w:t xml:space="preserve">10</w:t>
      </w:r>
      <w:r>
        <w:t xml:space="preserve">,</w:t>
      </w:r>
      <w:r>
        <w:t xml:space="preserve">793 returned substantive content. One earlier-version xAI snapshot returned blank answers for all</w:t>
      </w:r>
      <w:r>
        <w:t xml:space="preserve"> </w:t>
      </w:r>
      <w:r>
        <w:t xml:space="preserve">2</w:t>
      </w:r>
      <w:r>
        <w:t xml:space="preserve">,</w:t>
      </w:r>
      <w:r>
        <w:t xml:space="preserve">160 cells assigned to it; this block is retained as a documented dead cell and is not imputed.</w:t>
      </w:r>
      <w:r>
        <w:t xml:space="preserve"> </w:t>
      </w:r>
      <w:r>
        <w:t xml:space="preserve">Comparisons requiring full current-and-prior snapshot coverage therefore use the two providers with full</w:t>
      </w:r>
      <w:r>
        <w:t xml:space="preserve"> </w:t>
      </w:r>
      <w:r>
        <w:t xml:space="preserve">coverage. Each call is stored as an immutable JSON record containing the experimental specification, the</w:t>
      </w:r>
      <w:r>
        <w:t xml:space="preserve"> </w:t>
      </w:r>
      <w:r>
        <w:t xml:space="preserve">returned content, and the available provider metadata. Data collection and analysis are separated: all</w:t>
      </w:r>
      <w:r>
        <w:t xml:space="preserve"> </w:t>
      </w:r>
      <w:r>
        <w:t xml:space="preserve">confirmatory analyses run only on the frozen response corpus and do not re-query any model.</w:t>
      </w:r>
    </w:p>
    <w:p>
      <w:pPr>
        <w:pStyle w:val="Heading2"/>
      </w:pPr>
      <w:bookmarkStart w:id="50" w:name="X335739e5c0faa9978e4fea8c9e114a2f4c49f66"/>
      <w:r>
        <w:t xml:space="preserve">Outcome construction and statistical analysis</w:t>
      </w:r>
      <w:bookmarkEnd w:id="50"/>
    </w:p>
    <w:p>
      <w:pPr>
        <w:pStyle w:val="FirstParagraph"/>
      </w:pPr>
      <w:r>
        <w:t xml:space="preserve">Stored model responses are parsed under three rules—strict, lenient, and tolerant—applied after</w:t>
      </w:r>
      <w:r>
        <w:t xml:space="preserve"> </w:t>
      </w:r>
      <w:r>
        <w:t xml:space="preserve">collection. Credit ratings are first expressed on the full 21-grade letter scale and then deterministically</w:t>
      </w:r>
      <w:r>
        <w:t xml:space="preserve"> </w:t>
      </w:r>
      <w:r>
        <w:t xml:space="preserve">aggregated into notch categories, three broad credit bands, and the binary investment-grade/high-yield</w:t>
      </w:r>
      <w:r>
        <w:t xml:space="preserve"> </w:t>
      </w:r>
      <w:r>
        <w:t xml:space="preserve">classification. This permits examination of stability at increasingly coarse rating resolutions without</w:t>
      </w:r>
      <w:r>
        <w:t xml:space="preserve"> </w:t>
      </w:r>
      <w:r>
        <w:t xml:space="preserve">additional model calls.</w:t>
      </w:r>
    </w:p>
    <w:p>
      <w:pPr>
        <w:pStyle w:val="BodyText"/>
      </w:pPr>
      <w:r>
        <w:t xml:space="preserve">Agreement across specifications is measured with Fleiss’</w:t>
      </w:r>
      <w:r>
        <w:t xml:space="preserve"> </w:t>
      </w:r>
      <m:oMath>
        <m:r>
          <m:t>κ</m:t>
        </m:r>
      </m:oMath>
      <w:r>
        <w:t xml:space="preserve">. Within- and cross-provider agreement</w:t>
      </w:r>
      <w:r>
        <w:t xml:space="preserve"> </w:t>
      </w:r>
      <w:r>
        <w:t xml:space="preserve">is computed on matched firm profiles and seeds, and the contrast between homogeneous and heterogeneous</w:t>
      </w:r>
      <w:r>
        <w:t xml:space="preserve"> </w:t>
      </w:r>
      <w:r>
        <w:t xml:space="preserve">ensembles is summarized by</w:t>
      </w:r>
      <w:r>
        <w:t xml:space="preserve"> </w:t>
      </w:r>
      <m:oMath>
        <m:r>
          <m:t>Δ</m:t>
        </m:r>
        <m:r>
          <m:t>κ</m:t>
        </m:r>
      </m:oMath>
      <w:r>
        <w:t xml:space="preserve"> </w:t>
      </w:r>
      <w:r>
        <w:t xml:space="preserve">with profile-clustered bootstrap confidence intervals.</w:t>
      </w:r>
      <w:r>
        <w:t xml:space="preserve"> </w:t>
      </w:r>
      <w:r>
        <w:t xml:space="preserve">Variation in the full letter-rating rank is decomposed with a mixed-effects model with effects for the</w:t>
      </w:r>
      <w:r>
        <w:t xml:space="preserve"> </w:t>
      </w:r>
      <w:r>
        <w:t xml:space="preserve">underlying item, the elicitation-design dimensions, the provider-by-item interaction, and residual</w:t>
      </w:r>
      <w:r>
        <w:t xml:space="preserve"> </w:t>
      </w:r>
      <w:r>
        <w:t xml:space="preserve">run-level variation.</w:t>
      </w:r>
    </w:p>
    <w:p>
      <w:pPr>
        <w:pStyle w:val="BodyText"/>
      </w:pPr>
      <w:r>
        <w:t xml:space="preserve">All analyses are pre-registered unless labelled post-hoc, and inference uses distribution-free resampling</w:t>
      </w:r>
      <w:r>
        <w:t xml:space="preserve"> </w:t>
      </w:r>
      <w:r>
        <w:t xml:space="preserve">throughout, so no normality assumption is made. Uncertainty for the main quantities is estimated by</w:t>
      </w:r>
      <w:r>
        <w:t xml:space="preserve"> </w:t>
      </w:r>
      <w:r>
        <w:t xml:space="preserve">percentile bootstrap resampling over the underlying firm profiles rather than over individual model calls,</w:t>
      </w:r>
      <w:r>
        <w:t xml:space="preserve"> </w:t>
      </w:r>
      <w:r>
        <w:t xml:space="preserve">thereby preserving dependence among repeated elicitations of the same profile. The</w:t>
      </w:r>
      <w:r>
        <w:t xml:space="preserve"> </w:t>
      </w:r>
      <w:r>
        <w:t xml:space="preserve">investment-grade/high-yield flip rate and the portfolio-turnover estimate use 2</w:t>
      </w:r>
      <w:r>
        <w:t xml:space="preserve">,</w:t>
      </w:r>
      <w:r>
        <w:t xml:space="preserve">000 bootstrap</w:t>
      </w:r>
      <w:r>
        <w:t xml:space="preserve"> </w:t>
      </w:r>
      <w:r>
        <w:t xml:space="preserve">replicates, and specification-curve quantities use 1</w:t>
      </w:r>
      <w:r>
        <w:t xml:space="preserve">,</w:t>
      </w:r>
      <w:r>
        <w:t xml:space="preserve">000 replicates where applicable; point estimates</w:t>
      </w:r>
      <w:r>
        <w:t xml:space="preserve"> </w:t>
      </w:r>
      <w:r>
        <w:t xml:space="preserve">are reported with two-sided 95% confidence intervals. Specification invariance under deterministic</w:t>
      </w:r>
      <w:r>
        <w:t xml:space="preserve"> </w:t>
      </w:r>
      <w:r>
        <w:t xml:space="preserve">execution is tested on the provider-setting combination whose metadata confirm that temperature was</w:t>
      </w:r>
      <w:r>
        <w:t xml:space="preserve"> </w:t>
      </w:r>
      <w:r>
        <w:t xml:space="preserve">honored (Google at temperature 0): the observed between-specification spread in credit-band accuracy is</w:t>
      </w:r>
      <w:r>
        <w:t xml:space="preserve"> </w:t>
      </w:r>
      <w:r>
        <w:t xml:space="preserve">compared with the distribution generated by 999 permutations in a one-sided label-permutation test,</w:t>
      </w:r>
      <w:r>
        <w:t xml:space="preserve"> </w:t>
      </w:r>
      <m:oMath>
        <m:r>
          <m:t>p</m:t>
        </m:r>
        <m:r>
          <m:t>=</m:t>
        </m:r>
        <m:r>
          <m:t>(</m:t>
        </m:r>
        <m:r>
          <m:t>k</m:t>
        </m:r>
        <m:r>
          <m:t>+</m:t>
        </m:r>
        <m:r>
          <m:t>1</m:t>
        </m:r>
        <m:r>
          <m:t>)</m:t>
        </m:r>
        <m:r>
          <m:t>/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</m:oMath>
      <w:r>
        <w:t xml:space="preserve">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permuted statistics at least as extreme as the observed</w:t>
      </w:r>
      <w:r>
        <w:t xml:space="preserve"> </w:t>
      </w:r>
      <w:r>
        <w:t xml:space="preserve">statistic and</w:t>
      </w:r>
      <w:r>
        <w:t xml:space="preserve"> </w:t>
      </w:r>
      <m:oMath>
        <m:r>
          <m:t>n</m:t>
        </m:r>
        <m:r>
          <m:t>=</m:t>
        </m:r>
        <m:r>
          <m:t>999</m:t>
        </m:r>
      </m:oMath>
      <w:r>
        <w:t xml:space="preserve">. The test is one-sided because only an observed spread larger than the permutation</w:t>
      </w:r>
      <w:r>
        <w:t xml:space="preserve"> </w:t>
      </w:r>
      <w:r>
        <w:t xml:space="preserve">distribution constitutes evidence against specification invariance. For the real-firm robustness</w:t>
      </w:r>
      <w:r>
        <w:t xml:space="preserve"> </w:t>
      </w:r>
      <w:r>
        <w:t xml:space="preserve">analysis, quantitative equivalence of the real-firm and constructed-battery WATCH-stratum flip shares is</w:t>
      </w:r>
      <w:r>
        <w:t xml:space="preserve"> </w:t>
      </w:r>
      <w:r>
        <w:t xml:space="preserve">assessed with two one-sided tests (TOST) against a pre-registered margin of</w:t>
      </w:r>
      <w:r>
        <w:t xml:space="preserve"> </w:t>
      </w:r>
      <m:oMath>
        <m:r>
          <m:t>±</m:t>
        </m:r>
        <m:r>
          <m:t>0.15</m:t>
        </m:r>
      </m:oMath>
      <w:r>
        <w:t xml:space="preserve">, based on 16</w:t>
      </w:r>
      <w:r>
        <w:t xml:space="preserve"> </w:t>
      </w:r>
      <w:r>
        <w:t xml:space="preserve">real-firm and 15 constructed WATCH observations. The significance threshold is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 </w:t>
      </w:r>
      <w:r>
        <w:t xml:space="preserve">for all</w:t>
      </w:r>
      <w:r>
        <w:t xml:space="preserve"> </w:t>
      </w:r>
      <w:r>
        <w:t xml:space="preserve">formal tests. To mitigate the risk of selective reporting within the specification multiverse, we</w:t>
      </w:r>
      <w:r>
        <w:t xml:space="preserve"> </w:t>
      </w:r>
      <w:r>
        <w:t xml:space="preserve">pre-registered the estimands and specification grid and report the entire specification curve rather than</w:t>
      </w:r>
      <w:r>
        <w:t xml:space="preserve"> </w:t>
      </w:r>
      <w:r>
        <w:t xml:space="preserve">a selected subset. We reserve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for results accompanied by a</w:t>
      </w:r>
      <w:r>
        <w:t xml:space="preserve"> </w:t>
      </w:r>
      <m:oMath>
        <m:r>
          <m:t>p</m:t>
        </m:r>
      </m:oMath>
      <w:r>
        <w:t xml:space="preserve">-value and otherwise use</w:t>
      </w:r>
      <w:r>
        <w:t xml:space="preserve"> </w:t>
      </w:r>
      <w:r>
        <w:t xml:space="preserve">“</w:t>
      </w:r>
      <w:r>
        <w:t xml:space="preserve">substantial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considerable.</w:t>
      </w:r>
      <w:r>
        <w:t xml:space="preserve">”</w:t>
      </w:r>
    </w:p>
    <w:p>
      <w:pPr>
        <w:pStyle w:val="BodyText"/>
      </w:pPr>
      <w:r>
        <w:t xml:space="preserve">For the binary IG/HY outcome, the per-comparison flip probability is computed separately for each</w:t>
      </w:r>
      <w:r>
        <w:t xml:space="preserve"> </w:t>
      </w:r>
      <w:r>
        <w:t xml:space="preserve">credit-health profile from its observed distribution of ratings across the entire elicitation grid, so</w:t>
      </w:r>
      <w:r>
        <w:t xml:space="preserve"> </w:t>
      </w:r>
      <w:r>
        <w:t xml:space="preserve">that two elicitations may differ on any specification dimension or seed. The resulting pair falls on</w:t>
      </w:r>
      <w:r>
        <w:t xml:space="preserve"> </w:t>
      </w:r>
      <w:r>
        <w:t xml:space="preserve">opposite sides of the IG/HY boundary with probability equal to one minus the Gini–Simpson concentration</w:t>
      </w:r>
      <w:r>
        <w:t xml:space="preserve"> </w:t>
      </w:r>
      <w:r>
        <w:t xml:space="preserve">of the profile’s binary labels, and the reported flip rate is the average of this quantity over the 45</w:t>
      </w:r>
      <w:r>
        <w:t xml:space="preserve"> </w:t>
      </w:r>
      <w:r>
        <w:t xml:space="preserve">credit-health profiles.</w:t>
      </w:r>
    </w:p>
    <w:p>
      <w:pPr>
        <w:pStyle w:val="Heading2"/>
      </w:pPr>
      <w:bookmarkStart w:id="51" w:name="economic-translation"/>
      <w:r>
        <w:t xml:space="preserve">Economic translation</w:t>
      </w:r>
      <w:bookmarkEnd w:id="51"/>
    </w:p>
    <w:p>
      <w:pPr>
        <w:pStyle w:val="FirstParagraph"/>
      </w:pPr>
      <w:r>
        <w:t xml:space="preserve">The economic translations are post-hoc calibrations that express the magnitude of rating instability in</w:t>
      </w:r>
      <w:r>
        <w:t xml:space="preserve"> </w:t>
      </w:r>
      <w:r>
        <w:t xml:space="preserve">decision-relevant units; they are not confirmatory tests. Portfolio turnover is computed from the 45</w:t>
      </w:r>
      <w:r>
        <w:t xml:space="preserve"> </w:t>
      </w:r>
      <w:r>
        <w:t xml:space="preserve">directional profiles as the share of positions whose modal buy/hold/sell decision changes across</w:t>
      </w:r>
      <w:r>
        <w:t xml:space="preserve"> </w:t>
      </w:r>
      <w:r>
        <w:t xml:space="preserve">elicitation specifications. Rating dispersion is transformed into indicative credit-spread variation</w:t>
      </w:r>
      <w:r>
        <w:t xml:space="preserve"> </w:t>
      </w:r>
      <w:r>
        <w:t xml:space="preserve">using the rating-spread schedule of Cornaggia et al. [30] and a cached daily</w:t>
      </w:r>
      <w:r>
        <w:t xml:space="preserve"> </w:t>
      </w:r>
      <w:r>
        <w:t xml:space="preserve">option-adjusted-spread series. For the regulatory-capital illustration, each specification’s rating is</w:t>
      </w:r>
      <w:r>
        <w:t xml:space="preserve"> </w:t>
      </w:r>
      <w:r>
        <w:t xml:space="preserve">mapped through the Basel CRE20 standardized external-ratings risk-weight schedule [31] and</w:t>
      </w:r>
      <w:r>
        <w:t xml:space="preserve"> </w:t>
      </w:r>
      <w:r>
        <w:t xml:space="preserve">applied to the same hypothetical $45 billion equal-weight corporate portfolio, so that the capital range</w:t>
      </w:r>
      <w:r>
        <w:t xml:space="preserve"> </w:t>
      </w:r>
      <w:r>
        <w:t xml:space="preserve">reflects only differences in the elicited rating. The comparison with the Basel Regulatory Consistency</w:t>
      </w:r>
      <w:r>
        <w:t xml:space="preserve"> </w:t>
      </w:r>
      <w:r>
        <w:t xml:space="preserve">Assessment Programme [32] is used only as a magnitude calibration, not as an identity</w:t>
      </w:r>
      <w:r>
        <w:t xml:space="preserve"> </w:t>
      </w:r>
      <w:r>
        <w:t xml:space="preserve">between the two settings.</w:t>
      </w:r>
    </w:p>
    <w:p>
      <w:pPr>
        <w:pStyle w:val="Heading2"/>
      </w:pPr>
      <w:bookmarkStart w:id="52" w:name="real-firm-arm"/>
      <w:r>
        <w:t xml:space="preserve">Real-firm arm</w:t>
      </w:r>
      <w:bookmarkEnd w:id="52"/>
    </w:p>
    <w:p>
      <w:pPr>
        <w:pStyle w:val="FirstParagraph"/>
      </w:pPr>
      <w:r>
        <w:t xml:space="preserve">To test the persistence of specification instability outside the constructed battery, we assemble a</w:t>
      </w:r>
      <w:r>
        <w:t xml:space="preserve"> </w:t>
      </w:r>
      <w:r>
        <w:t xml:space="preserve">complementary sample of 31 U.S. business-to-business issuers with market capitalizations between $2</w:t>
      </w:r>
      <w:r>
        <w:t xml:space="preserve"> </w:t>
      </w:r>
      <w:r>
        <w:t xml:space="preserve">billion and $15 billion whose most recent Form 10-K discloses a current long-term agency credit rating.</w:t>
      </w:r>
      <w:r>
        <w:t xml:space="preserve"> </w:t>
      </w:r>
      <w:r>
        <w:t xml:space="preserve">S&amp;P is the primary rating source; where S&amp;P ratings are unavailable, Moody’s or Fitch ratings are</w:t>
      </w:r>
      <w:r>
        <w:t xml:space="preserve"> </w:t>
      </w:r>
      <w:r>
        <w:t xml:space="preserve">mapped to a common scale. Each rating is preserved with a verbatim filing quotation, a permanent SEC</w:t>
      </w:r>
      <w:r>
        <w:t xml:space="preserve"> </w:t>
      </w:r>
      <w:r>
        <w:t xml:space="preserve">document URL, and a document hash.</w:t>
      </w:r>
    </w:p>
    <w:p>
      <w:pPr>
        <w:pStyle w:val="BodyText"/>
      </w:pPr>
      <w:r>
        <w:t xml:space="preserve">Because these figures are publicly reported by real issuers, there is a risk of contamination if a model</w:t>
      </w:r>
      <w:r>
        <w:t xml:space="preserve"> </w:t>
      </w:r>
      <w:r>
        <w:t xml:space="preserve">can identify a company. We therefore first perform a pre-registered fingerprinting test in which the</w:t>
      </w:r>
      <w:r>
        <w:t xml:space="preserve"> </w:t>
      </w:r>
      <w:r>
        <w:t xml:space="preserve">models are asked to identify issuers from anonymized financial profiles; Gemini-Flash identifies about</w:t>
      </w:r>
      <w:r>
        <w:t xml:space="preserve"> </w:t>
      </w:r>
      <w:r>
        <w:t xml:space="preserve">22% of the selected issuers from the original figures, confirming that removing the company name does not</w:t>
      </w:r>
      <w:r>
        <w:t xml:space="preserve"> </w:t>
      </w:r>
      <w:r>
        <w:t xml:space="preserve">guarantee independence from memorized issuer information. To reduce this risk, every dollar-denominated</w:t>
      </w:r>
      <w:r>
        <w:t xml:space="preserve"> </w:t>
      </w:r>
      <w:r>
        <w:t xml:space="preserve">quantity for an issuer is multiplied by a single issuer-specific factor sampled from a log-uniform</w:t>
      </w:r>
      <w:r>
        <w:t xml:space="preserve"> </w:t>
      </w:r>
      <w:r>
        <w:t xml:space="preserve">distribution over</w:t>
      </w:r>
      <w:r>
        <w:t xml:space="preserve"> </w:t>
      </w:r>
      <m:oMath>
        <m:r>
          <m:t>[</m:t>
        </m:r>
        <m:r>
          <m:t>0.6</m:t>
        </m:r>
        <m:r>
          <m:t>,</m:t>
        </m:r>
        <m:r>
          <m:t>1.7</m:t>
        </m:r>
        <m:r>
          <m:t>]</m:t>
        </m:r>
      </m:oMath>
      <w:r>
        <w:t xml:space="preserve">. The same factor applies to all monetary amounts, so the credit-health</w:t>
      </w:r>
      <w:r>
        <w:t xml:space="preserve"> </w:t>
      </w:r>
      <w:r>
        <w:t xml:space="preserve">analysis retains the financial-ratio structure while disrupting exact-figure lookup. We also</w:t>
      </w:r>
      <w:r>
        <w:t xml:space="preserve"> </w:t>
      </w:r>
      <w:r>
        <w:t xml:space="preserve">exclude consumer-facing companies to reduce recognition from highly distinctive public profiles. The</w:t>
      </w:r>
      <w:r>
        <w:t xml:space="preserve"> </w:t>
      </w:r>
      <w:r>
        <w:t xml:space="preserve">fingerprint-identification rate falls to 2.9% after perturbation, below the pre-registered 5%</w:t>
      </w:r>
      <w:r>
        <w:t xml:space="preserve"> </w:t>
      </w:r>
      <w:r>
        <w:t xml:space="preserve">decontamination threshold.</w:t>
      </w:r>
    </w:p>
    <w:p>
      <w:pPr>
        <w:pStyle w:val="BodyText"/>
      </w:pPr>
      <w:r>
        <w:t xml:space="preserve">Each decontaminated issuer is then scored on a fixed 12-specification grid spanning presentation,</w:t>
      </w:r>
      <w:r>
        <w:t xml:space="preserve"> </w:t>
      </w:r>
      <w:r>
        <w:t xml:space="preserve">provider, prompt paraphrase, and output format, at three seeds, and the constructed battery is re-scored</w:t>
      </w:r>
      <w:r>
        <w:t xml:space="preserve"> </w:t>
      </w:r>
      <w:r>
        <w:t xml:space="preserve">under the same grid for a matched comparison on the WATCH stratum. This arm uses disclosed agency ratings</w:t>
      </w:r>
      <w:r>
        <w:t xml:space="preserve"> </w:t>
      </w:r>
      <w:r>
        <w:t xml:space="preserve">as a descriptive real-world reference; the primary comparison is stability across specifications.</w:t>
      </w:r>
    </w:p>
    <w:p>
      <w:pPr>
        <w:pStyle w:val="Heading2"/>
      </w:pPr>
      <w:bookmarkStart w:id="53" w:name="reproducibility"/>
      <w:r>
        <w:t xml:space="preserve">Reproducibility</w:t>
      </w:r>
      <w:bookmarkEnd w:id="53"/>
    </w:p>
    <w:p>
      <w:pPr>
        <w:pStyle w:val="FirstParagraph"/>
      </w:pPr>
      <w:r>
        <w:t xml:space="preserve">The entire experimental pipeline is archived so that the reported results can be reproduced without</w:t>
      </w:r>
      <w:r>
        <w:t xml:space="preserve"> </w:t>
      </w:r>
      <w:r>
        <w:t xml:space="preserve">further model calls. The frozen materials comprise the 90-item battery, the specification grid, the</w:t>
      </w:r>
      <w:r>
        <w:t xml:space="preserve"> </w:t>
      </w:r>
      <w:r>
        <w:t xml:space="preserve">prompt templates, the rating scale, the full 12</w:t>
      </w:r>
      <w:r>
        <w:t xml:space="preserve">,</w:t>
      </w:r>
      <w:r>
        <w:t xml:space="preserve">960-record response corpus, the analysis panel, the</w:t>
      </w:r>
      <w:r>
        <w:t xml:space="preserve"> </w:t>
      </w:r>
      <w:r>
        <w:t xml:space="preserve">real-firm arm, the analysis code, the generated outputs, and SHA-256 integrity manifests. The complete</w:t>
      </w:r>
      <w:r>
        <w:t xml:space="preserve"> </w:t>
      </w:r>
      <w:r>
        <w:t xml:space="preserve">set of confirmatory tables, figures, and reported statistics regenerates from a single offline entry</w:t>
      </w:r>
      <w:r>
        <w:t xml:space="preserve"> </w:t>
      </w:r>
      <w:r>
        <w:t xml:space="preserve">point. Provider API credentials are required only to collect new model responses and are not needed to</w:t>
      </w:r>
      <w:r>
        <w:t xml:space="preserve"> </w:t>
      </w:r>
      <w:r>
        <w:t xml:space="preserve">reproduce any result reported in this study.</w:t>
      </w:r>
    </w:p>
    <w:p>
      <w:pPr>
        <w:pStyle w:val="BodyText"/>
      </w:pPr>
      <w:r>
        <w:rPr>
          <w:b/>
        </w:rPr>
        <w:t xml:space="preserve">Use of generative AI.</w:t>
      </w:r>
      <w:r>
        <w:t xml:space="preserve"> </w:t>
      </w:r>
      <w:r>
        <w:t xml:space="preserve">Generative AI was used to assist with grammar correction and minor</w:t>
      </w:r>
      <w:r>
        <w:t xml:space="preserve"> </w:t>
      </w:r>
      <w:r>
        <w:t xml:space="preserve">language edits of the authors’ own text, and with software scaffolding, development, and coding of the</w:t>
      </w:r>
      <w:r>
        <w:t xml:space="preserve"> </w:t>
      </w:r>
      <w:r>
        <w:t xml:space="preserve">analysis and reproducibility pipeline (Anthropic Claude), in all cases under the authors’ direction.</w:t>
      </w:r>
      <w:r>
        <w:t xml:space="preserve"> </w:t>
      </w:r>
      <w:r>
        <w:t xml:space="preserve">Separately, large language models are the object of study in this work—the credit-rating elicitations</w:t>
      </w:r>
      <w:r>
        <w:t xml:space="preserve"> </w:t>
      </w:r>
      <w:r>
        <w:t xml:space="preserve">under analysis—as described above; every such elicitation is recorded in the specification grid and</w:t>
      </w:r>
      <w:r>
        <w:t xml:space="preserve"> </w:t>
      </w:r>
      <w:r>
        <w:t xml:space="preserve">frozen corpus. The authors reviewed and verified all such output and take full responsibility for the</w:t>
      </w:r>
      <w:r>
        <w:t xml:space="preserve"> </w:t>
      </w:r>
      <w:r>
        <w:t xml:space="preserve">content.</w:t>
      </w:r>
    </w:p>
    <w:p>
      <w:pPr>
        <w:pStyle w:val="Heading2"/>
      </w:pPr>
      <w:bookmarkStart w:id="54" w:name="data-availability"/>
      <w:r>
        <w:t xml:space="preserve">Data availability</w:t>
      </w:r>
      <w:bookmarkEnd w:id="54"/>
    </w:p>
    <w:p>
      <w:pPr>
        <w:pStyle w:val="FirstParagraph"/>
      </w:pPr>
      <w:r>
        <w:t xml:space="preserve">All data and code required to reproduce the study are openly available in a deterministic, offline</w:t>
      </w:r>
      <w:r>
        <w:t xml:space="preserve"> </w:t>
      </w:r>
      <w:r>
        <w:t xml:space="preserve">reproducibility capsule archived on Zenodo (</w:t>
      </w:r>
      <w:hyperlink r:id="rId55">
        <w:r>
          <w:rPr>
            <w:rStyle w:val="Hyperlink"/>
          </w:rPr>
          <w:t xml:space="preserve">https://doi.org/10.5281/zenodo.21953935</w:t>
        </w:r>
      </w:hyperlink>
      <w:r>
        <w:t xml:space="preserve">; MIT license),</w:t>
      </w:r>
      <w:r>
        <w:t xml:space="preserve"> </w:t>
      </w:r>
      <w:r>
        <w:t xml:space="preserve">mirrored in the source repository at</w:t>
      </w:r>
      <w:r>
        <w:t xml:space="preserve"> </w:t>
      </w:r>
      <w:hyperlink r:id="rId56">
        <w:r>
          <w:rPr>
            <w:rStyle w:val="Hyperlink"/>
          </w:rPr>
          <w:t xml:space="preserve">https://github.com/samirrc2/Sensitivity-of-AI-Generated-Credit-Ratings-to-Elicitation-Choices</w:t>
        </w:r>
      </w:hyperlink>
      <w:r>
        <w:t xml:space="preserve">. Within the capsule, the</w:t>
      </w:r>
      <w:r>
        <w:t xml:space="preserve"> </w:t>
      </w:r>
      <w:r>
        <w:rPr>
          <w:rStyle w:val="VerbatimChar"/>
        </w:rPr>
        <w:t xml:space="preserve">data/frozen/main/</w:t>
      </w:r>
      <w:r>
        <w:t xml:space="preserve"> </w:t>
      </w:r>
      <w:r>
        <w:t xml:space="preserve">directory contains the pre-registered 90-item firm battery</w:t>
      </w:r>
      <w:r>
        <w:t xml:space="preserve"> </w:t>
      </w:r>
      <w:r>
        <w:t xml:space="preserve">(</w:t>
      </w:r>
      <w:r>
        <w:rPr>
          <w:rStyle w:val="VerbatimChar"/>
        </w:rPr>
        <w:t xml:space="preserve">battery_90.json</w:t>
      </w:r>
      <w:r>
        <w:t xml:space="preserve">; 45 credit-health</w:t>
      </w:r>
      <w:r>
        <w:t xml:space="preserve"> </w:t>
      </w:r>
      <m:oMath>
        <m:r>
          <m:t>+</m:t>
        </m:r>
      </m:oMath>
      <w:r>
        <w:t xml:space="preserve"> </w:t>
      </w:r>
      <w:r>
        <w:t xml:space="preserve">45 directional items), the specification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grid_definition.json</w:t>
      </w:r>
      <w:r>
        <w:t xml:space="preserve">), the prompt paraphrases (</w:t>
      </w:r>
      <w:r>
        <w:rPr>
          <w:rStyle w:val="VerbatimChar"/>
        </w:rPr>
        <w:t xml:space="preserve">paraphrase_templates.json</w:t>
      </w:r>
      <w:r>
        <w:t xml:space="preserve">), the</w:t>
      </w:r>
      <w:r>
        <w:t xml:space="preserve"> </w:t>
      </w:r>
      <w:r>
        <w:t xml:space="preserve">rating scale (</w:t>
      </w:r>
      <w:r>
        <w:rPr>
          <w:rStyle w:val="VerbatimChar"/>
        </w:rPr>
        <w:t xml:space="preserve">rating_scale.json</w:t>
      </w:r>
      <w:r>
        <w:t xml:space="preserve">), and the Basel capital map (</w:t>
      </w:r>
      <w:r>
        <w:rPr>
          <w:rStyle w:val="VerbatimChar"/>
        </w:rPr>
        <w:t xml:space="preserve">capital_map.json</w:t>
      </w:r>
      <w:r>
        <w:t xml:space="preserve">);</w:t>
      </w:r>
      <w:r>
        <w:t xml:space="preserve"> </w:t>
      </w:r>
      <w:r>
        <w:rPr>
          <w:rStyle w:val="VerbatimChar"/>
        </w:rPr>
        <w:t xml:space="preserve">data/raw/main/</w:t>
      </w:r>
      <w:r>
        <w:t xml:space="preserve"> </w:t>
      </w:r>
      <w:r>
        <w:t xml:space="preserve">holds the complete frozen corpus of 12</w:t>
      </w:r>
      <w:r>
        <w:t xml:space="preserve">,</w:t>
      </w:r>
      <w:r>
        <w:t xml:space="preserve">960 model responses;</w:t>
      </w:r>
      <w:r>
        <w:t xml:space="preserve"> </w:t>
      </w:r>
      <w:r>
        <w:rPr>
          <w:rStyle w:val="VerbatimChar"/>
        </w:rPr>
        <w:t xml:space="preserve">data/panel/panel.parquet</w:t>
      </w:r>
      <w:r>
        <w:t xml:space="preserve"> </w:t>
      </w:r>
      <w:r>
        <w:t xml:space="preserve">is the analysis panel built once from that corpus; and</w:t>
      </w:r>
      <w:r>
        <w:t xml:space="preserve"> </w:t>
      </w:r>
      <w:r>
        <w:rPr>
          <w:rStyle w:val="VerbatimChar"/>
        </w:rPr>
        <w:t xml:space="preserve">data/frozen/realarm/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data/raw/realarm/</w:t>
      </w:r>
      <w:r>
        <w:t xml:space="preserve"> </w:t>
      </w:r>
      <w:r>
        <w:t xml:space="preserve">contain the decontaminated real-firm arm</w:t>
      </w:r>
      <w:r>
        <w:t xml:space="preserve"> </w:t>
      </w:r>
      <w:r>
        <w:t xml:space="preserve">(the anonymized perturbed battery</w:t>
      </w:r>
      <w:r>
        <w:t xml:space="preserve"> </w:t>
      </w:r>
      <w:r>
        <w:rPr>
          <w:rStyle w:val="VerbatimChar"/>
        </w:rPr>
        <w:t xml:space="preserve">battery_real45.json</w:t>
      </w:r>
      <w:r>
        <w:t xml:space="preserve">, the sealed issuer crosswalk, the rating</w:t>
      </w:r>
      <w:r>
        <w:t xml:space="preserve"> </w:t>
      </w:r>
      <w:r>
        <w:t xml:space="preserve">provenance</w:t>
      </w:r>
      <w:r>
        <w:t xml:space="preserve"> </w:t>
      </w:r>
      <w:r>
        <w:rPr>
          <w:rStyle w:val="VerbatimChar"/>
        </w:rPr>
        <w:t xml:space="preserve">ratings_provenance.csv</w:t>
      </w:r>
      <w:r>
        <w:t xml:space="preserve"> </w:t>
      </w:r>
      <w:r>
        <w:t xml:space="preserve">with a verbatim 10-K quotation, permanent SEC URL, and</w:t>
      </w:r>
      <w:r>
        <w:t xml:space="preserve"> </w:t>
      </w:r>
      <w:r>
        <w:t xml:space="preserve">document hash per issuer, and the arm/comparator/fingerprint model-output panels). The analysis code is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, pre-computed outputs and figures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 and SHA-256 integrity</w:t>
      </w:r>
      <w:r>
        <w:t xml:space="preserve"> </w:t>
      </w:r>
      <w:r>
        <w:t xml:space="preserve">manifests in</w:t>
      </w:r>
      <w:r>
        <w:t xml:space="preserve"> </w:t>
      </w:r>
      <w:r>
        <w:rPr>
          <w:rStyle w:val="VerbatimChar"/>
        </w:rPr>
        <w:t xml:space="preserve">manifest/</w:t>
      </w:r>
      <w:r>
        <w:t xml:space="preserve">. A single offline entry point,</w:t>
      </w:r>
      <w:r>
        <w:t xml:space="preserve"> </w:t>
      </w:r>
      <w:r>
        <w:rPr>
          <w:rStyle w:val="VerbatimChar"/>
        </w:rPr>
        <w:t xml:space="preserve">reproduce.sh</w:t>
      </w:r>
      <w:r>
        <w:t xml:space="preserve">, regenerates every</w:t>
      </w:r>
      <w:r>
        <w:t xml:space="preserve"> </w:t>
      </w:r>
      <w:r>
        <w:t xml:space="preserve">reported number, table, and figure byte-for-byte, with no model calls and no API keys. Issuer identities</w:t>
      </w:r>
      <w:r>
        <w:t xml:space="preserve"> </w:t>
      </w:r>
      <w:r>
        <w:t xml:space="preserve">in the real-firm arm are anonymized and the sealed crosswalk is withheld; the underlying SEC filings</w:t>
      </w:r>
      <w:r>
        <w:t xml:space="preserve"> </w:t>
      </w:r>
      <w:r>
        <w:t xml:space="preserve">(Form 10-K and company-facts XBRL) are publicly available through the SEC EDGAR system, with permanent</w:t>
      </w:r>
      <w:r>
        <w:t xml:space="preserve"> </w:t>
      </w:r>
      <w:r>
        <w:t xml:space="preserve">document URLs listed in</w:t>
      </w:r>
      <w:r>
        <w:t xml:space="preserve"> </w:t>
      </w:r>
      <w:r>
        <w:rPr>
          <w:rStyle w:val="VerbatimChar"/>
        </w:rPr>
        <w:t xml:space="preserve">data/frozen/realarm/ratings_provenance.csv</w:t>
      </w:r>
      <w:r>
        <w:t xml:space="preserve">.</w:t>
      </w:r>
    </w:p>
    <w:p>
      <w:pPr>
        <w:pStyle w:val="Heading2"/>
      </w:pPr>
      <w:bookmarkStart w:id="57" w:name="code-availability"/>
      <w:r>
        <w:t xml:space="preserve">Code availability</w:t>
      </w:r>
      <w:bookmarkEnd w:id="57"/>
    </w:p>
    <w:p>
      <w:pPr>
        <w:pStyle w:val="FirstParagraph"/>
      </w:pPr>
      <w:r>
        <w:t xml:space="preserve">All collection, panel-construction, and analysis code is released under the MIT license in the same</w:t>
      </w:r>
      <w:r>
        <w:t xml:space="preserve"> </w:t>
      </w:r>
      <w:r>
        <w:t xml:space="preserve">repository; a single</w:t>
      </w:r>
      <w:r>
        <w:t xml:space="preserve"> </w:t>
      </w:r>
      <w:r>
        <w:rPr>
          <w:rStyle w:val="VerbatimChar"/>
        </w:rPr>
        <w:t xml:space="preserve">reproduce.sh</w:t>
      </w:r>
      <w:r>
        <w:t xml:space="preserve"> </w:t>
      </w:r>
      <w:r>
        <w:t xml:space="preserve">regenerates every reported number, table, and figure from the</w:t>
      </w:r>
      <w:r>
        <w:t xml:space="preserve"> </w:t>
      </w:r>
      <w:r>
        <w:t xml:space="preserve">frozen data offline. Provider API keys are required only to re-collect the corpus (not to reproduce any</w:t>
      </w:r>
      <w:r>
        <w:t xml:space="preserve"> </w:t>
      </w:r>
      <w:r>
        <w:t xml:space="preserve">result) and are not distributed.</w:t>
      </w:r>
    </w:p>
    <w:p>
      <w:pPr>
        <w:pStyle w:val="Heading1"/>
      </w:pPr>
      <w:bookmarkStart w:id="58" w:name="references"/>
      <w:r>
        <w:t xml:space="preserve">References</w:t>
      </w:r>
      <w:bookmarkEnd w:id="58"/>
    </w:p>
    <w:p>
      <w:pPr>
        <w:numPr>
          <w:ilvl w:val="0"/>
          <w:numId w:val="1001"/>
        </w:numPr>
      </w:pPr>
      <w:r>
        <w:t xml:space="preserve">Hens, T. &amp; Nordlie, T. How good are LLMs in risk profiling? Finance Research Letters 85, 108102 (2025).</w:t>
      </w:r>
    </w:p>
    <w:p>
      <w:pPr>
        <w:numPr>
          <w:ilvl w:val="0"/>
          <w:numId w:val="1001"/>
        </w:numPr>
      </w:pPr>
      <w:r>
        <w:t xml:space="preserve">Atil, B. et al. Non-determinism of</w:t>
      </w:r>
      <w:r>
        <w:t xml:space="preserve"> </w:t>
      </w:r>
      <w:r>
        <w:t xml:space="preserve">“</w:t>
      </w:r>
      <w:r>
        <w:t xml:space="preserve">deterministic</w:t>
      </w:r>
      <w:r>
        <w:t xml:space="preserve">”</w:t>
      </w:r>
      <w:r>
        <w:t xml:space="preserve"> </w:t>
      </w:r>
      <w:r>
        <w:t xml:space="preserve">LLM settings. Tech. Rep., arXiv:2408.04667 (2024).</w:t>
      </w:r>
    </w:p>
    <w:p>
      <w:pPr>
        <w:numPr>
          <w:ilvl w:val="0"/>
          <w:numId w:val="1001"/>
        </w:numPr>
      </w:pPr>
      <w:r>
        <w:t xml:space="preserve">Kaplan, J. et al. Scaling laws for neural language models. arXiv preprint arXiv:2001.08361 (2020).</w:t>
      </w:r>
    </w:p>
    <w:p>
      <w:pPr>
        <w:numPr>
          <w:ilvl w:val="0"/>
          <w:numId w:val="1001"/>
        </w:numPr>
      </w:pPr>
      <w:r>
        <w:t xml:space="preserve">Chon, S., Kim, J. &amp; Kim, J. Multifaceted variability in LLM-driven stock recommendations. Finance Research Letters (2025). Forthcoming.</w:t>
      </w:r>
    </w:p>
    <w:p>
      <w:pPr>
        <w:numPr>
          <w:ilvl w:val="0"/>
          <w:numId w:val="1001"/>
        </w:numPr>
      </w:pPr>
      <w:r>
        <w:t xml:space="preserve">Simonsohn, U., Simmons, J. P. &amp; Nelson, L. D. Specification curve analysis. Nature Human Behaviour 4, 1208–1214 (2020).</w:t>
      </w:r>
    </w:p>
    <w:p>
      <w:pPr>
        <w:numPr>
          <w:ilvl w:val="0"/>
          <w:numId w:val="1001"/>
        </w:numPr>
      </w:pPr>
      <w:r>
        <w:t xml:space="preserve">Steegen, S., Tuerlinckx, F., Gelman, A. &amp; Vanpaemel, W. Increasing transparency through a multiverse analysis. Perspectives on Psychological Science 11, 702–712 (2016).</w:t>
      </w:r>
    </w:p>
    <w:p>
      <w:pPr>
        <w:numPr>
          <w:ilvl w:val="0"/>
          <w:numId w:val="1001"/>
        </w:numPr>
      </w:pPr>
      <w:r>
        <w:t xml:space="preserve">Camuffo, A., Gambardella, A., Kazemi, S., Malachowski, J. &amp; Pandey, A. Variance-aware LLM annotation for strategy research: Sources, diagnostics, and a protocol for reliable measurement. Tech. Rep., arXiv:2601.02370 (2026).</w:t>
      </w:r>
    </w:p>
    <w:p>
      <w:pPr>
        <w:numPr>
          <w:ilvl w:val="0"/>
          <w:numId w:val="1001"/>
        </w:numPr>
      </w:pPr>
      <w:r>
        <w:t xml:space="preserve">Altman, E. I. Financial ratios, discriminant analysis and the prediction of corporate bankruptcy. The Journal of Finance 23, 589–609 (1968).</w:t>
      </w:r>
    </w:p>
    <w:p>
      <w:pPr>
        <w:numPr>
          <w:ilvl w:val="0"/>
          <w:numId w:val="1001"/>
        </w:numPr>
      </w:pPr>
      <w:r>
        <w:t xml:space="preserve">Vaswani, A. et al. Attention is all you need, Vol. 30 (2017).</w:t>
      </w:r>
    </w:p>
    <w:p>
      <w:pPr>
        <w:numPr>
          <w:ilvl w:val="0"/>
          <w:numId w:val="1001"/>
        </w:numPr>
      </w:pPr>
      <w:r>
        <w:t xml:space="preserve">Devlin, J., Chang, M.-W., Lee, K. &amp; Toutanova, K. BERT: Pre-training of deep bidirectional transformers for language understanding (2019).</w:t>
      </w:r>
    </w:p>
    <w:p>
      <w:pPr>
        <w:numPr>
          <w:ilvl w:val="0"/>
          <w:numId w:val="1001"/>
        </w:numPr>
      </w:pPr>
      <w:r>
        <w:t xml:space="preserve">Bommasani, R. et al. On the opportunities and risks of foundation models. arXiv preprint arXiv:2108.07258 (2021).</w:t>
      </w:r>
    </w:p>
    <w:p>
      <w:pPr>
        <w:numPr>
          <w:ilvl w:val="0"/>
          <w:numId w:val="1001"/>
        </w:numPr>
      </w:pPr>
      <w:r>
        <w:t xml:space="preserve">Sclar, M., Choi, Y., Tsvetkov, Y. &amp; Suhr, A. Quantifying language models’ sensitivity to spurious features in prompt design (2024).</w:t>
      </w:r>
    </w:p>
    <w:p>
      <w:pPr>
        <w:numPr>
          <w:ilvl w:val="0"/>
          <w:numId w:val="1001"/>
        </w:numPr>
      </w:pPr>
      <w:r>
        <w:t xml:space="preserve">Mizrahi, M. et al. State of what art? a call for multi-prompt LLM evaluation. Transactions of the Association for Computational Linguistics 12 (2024).</w:t>
      </w:r>
    </w:p>
    <w:p>
      <w:pPr>
        <w:numPr>
          <w:ilvl w:val="0"/>
          <w:numId w:val="1001"/>
        </w:numPr>
      </w:pPr>
      <w:r>
        <w:t xml:space="preserve">Gelman, A. &amp; Loken, E. The garden of forking paths: Why multiple comparisons can be a problem, even when there is no</w:t>
      </w:r>
      <w:r>
        <w:t xml:space="preserve"> </w:t>
      </w:r>
      <w:r>
        <w:t xml:space="preserve">“</w:t>
      </w:r>
      <w:r>
        <w:t xml:space="preserve">fishing expedition</w:t>
      </w:r>
      <w:r>
        <w:t xml:space="preserve">”</w:t>
      </w:r>
      <w:r>
        <w:t xml:space="preserve">. Department of Statistics, Columbia University (working paper) (2013).</w:t>
      </w:r>
    </w:p>
    <w:p>
      <w:pPr>
        <w:numPr>
          <w:ilvl w:val="0"/>
          <w:numId w:val="1001"/>
        </w:numPr>
      </w:pPr>
      <w:r>
        <w:t xml:space="preserve">Simmons, J. P., Nelson, L. D. &amp; Simonsohn, U. False-positive psychology: Undisclosed flexibility in data collection and analysis allows presenting anything as significant. Psychological Science 22, 1359–1366 (2011).</w:t>
      </w:r>
    </w:p>
    <w:p>
      <w:pPr>
        <w:numPr>
          <w:ilvl w:val="0"/>
          <w:numId w:val="1001"/>
        </w:numPr>
      </w:pPr>
      <w:r>
        <w:t xml:space="preserve">Brown, T. B. et al. Language models are few-shot learners, Vol. 33 (2020).</w:t>
      </w:r>
    </w:p>
    <w:p>
      <w:pPr>
        <w:numPr>
          <w:ilvl w:val="0"/>
          <w:numId w:val="1001"/>
        </w:numPr>
      </w:pPr>
      <w:r>
        <w:t xml:space="preserve">Ouyang, L. et al. Training language models to follow instructions with human feedback, Vol. 35 (2022).</w:t>
      </w:r>
    </w:p>
    <w:p>
      <w:pPr>
        <w:numPr>
          <w:ilvl w:val="0"/>
          <w:numId w:val="1001"/>
        </w:numPr>
      </w:pPr>
      <w:r>
        <w:t xml:space="preserve">OpenAI. GPT-4 technical report. arXiv preprint arXiv:2303.08774 (2023).</w:t>
      </w:r>
    </w:p>
    <w:p>
      <w:pPr>
        <w:numPr>
          <w:ilvl w:val="0"/>
          <w:numId w:val="1001"/>
        </w:numPr>
      </w:pPr>
      <w:r>
        <w:t xml:space="preserve">Wu, S. et al. BloombergGPT: A large language model for finance. arXiv preprint arXiv:2303.17564 (2023).</w:t>
      </w:r>
    </w:p>
    <w:p>
      <w:pPr>
        <w:numPr>
          <w:ilvl w:val="0"/>
          <w:numId w:val="1001"/>
        </w:numPr>
      </w:pPr>
      <w:r>
        <w:t xml:space="preserve">Xie, Q. et al. PIXIU: A large language model, instruction data and evaluation benchmark for finance, Vol. 36 (2023).</w:t>
      </w:r>
    </w:p>
    <w:p>
      <w:pPr>
        <w:numPr>
          <w:ilvl w:val="0"/>
          <w:numId w:val="1001"/>
        </w:numPr>
      </w:pPr>
      <w:r>
        <w:t xml:space="preserve">Kim, A., Muhn, M. &amp; Nikolaev, V. Financial statement analysis with large language models. arXiv preprint arXiv:2407.17866 (2024).</w:t>
      </w:r>
    </w:p>
    <w:p>
      <w:pPr>
        <w:numPr>
          <w:ilvl w:val="0"/>
          <w:numId w:val="1001"/>
        </w:numPr>
      </w:pPr>
      <w:r>
        <w:t xml:space="preserve">Lopez-Lira, A. &amp; Tang, Y. Can ChatGPT forecast stock price movements? return predictability and large language models. arXiv preprint arXiv:2304.07619 (2023).</w:t>
      </w:r>
    </w:p>
    <w:p>
      <w:pPr>
        <w:numPr>
          <w:ilvl w:val="0"/>
          <w:numId w:val="1001"/>
        </w:numPr>
      </w:pPr>
      <w:r>
        <w:t xml:space="preserve">Hansen, A. L. &amp; Kazinnik, S. Can ChatGPT decipher Fedspeak? SSRN Electronic Journal (2024).</w:t>
      </w:r>
    </w:p>
    <w:p>
      <w:pPr>
        <w:numPr>
          <w:ilvl w:val="0"/>
          <w:numId w:val="1001"/>
        </w:numPr>
      </w:pPr>
      <w:r>
        <w:t xml:space="preserve">García-Llorente, C. &amp; Olmeda, I. Large language models for banking supervision: Reliability evidence from European systemic banks. Finance Research Letters (2026).</w:t>
      </w:r>
    </w:p>
    <w:p>
      <w:pPr>
        <w:numPr>
          <w:ilvl w:val="0"/>
          <w:numId w:val="1001"/>
        </w:numPr>
      </w:pPr>
      <w:r>
        <w:t xml:space="preserve">Drinkall, F., Pierrehumbert, J. B. &amp; Zohren, S. Forecasting credit ratings: A case study where traditional methods outperform generative LLMs, 118–133 (2025).</w:t>
      </w:r>
    </w:p>
    <w:p>
      <w:pPr>
        <w:numPr>
          <w:ilvl w:val="0"/>
          <w:numId w:val="1001"/>
        </w:numPr>
      </w:pPr>
      <w:r>
        <w:t xml:space="preserve">Ohlson, J. A. Financial ratios and the probabilistic prediction of bankruptcy. Journal of Accounting Research 18, 109–131 (1980).</w:t>
      </w:r>
    </w:p>
    <w:p>
      <w:pPr>
        <w:numPr>
          <w:ilvl w:val="0"/>
          <w:numId w:val="1001"/>
        </w:numPr>
      </w:pPr>
      <w:r>
        <w:t xml:space="preserve">Cantor, R. &amp; Packer, F. Differences of opinion and selection bias in the credit rating industry. Journal of Banking &amp; Finance 21, 1395–1417 (1997).</w:t>
      </w:r>
    </w:p>
    <w:p>
      <w:pPr>
        <w:numPr>
          <w:ilvl w:val="0"/>
          <w:numId w:val="1001"/>
        </w:numPr>
      </w:pPr>
      <w:r>
        <w:t xml:space="preserve">Kliger, D. &amp; Sarig, O. The information value of bond ratings. Journal of Finance 55, 2879–2902 (2000).</w:t>
      </w:r>
    </w:p>
    <w:p>
      <w:pPr>
        <w:numPr>
          <w:ilvl w:val="0"/>
          <w:numId w:val="1001"/>
        </w:numPr>
      </w:pPr>
      <w:r>
        <w:t xml:space="preserve">Tang, T. T. Information asymmetry and firms’ credit market access: Evidence from Moody’s credit rating format refinement. Journal of Financial Economics 93, 325–351 (2009).</w:t>
      </w:r>
    </w:p>
    <w:p>
      <w:pPr>
        <w:numPr>
          <w:ilvl w:val="0"/>
          <w:numId w:val="1001"/>
        </w:numPr>
      </w:pPr>
      <w:r>
        <w:t xml:space="preserve">Cornaggia, J., Cornaggia, K. J. &amp; Israelsen, R. D. Credit ratings and the cost of municipal financing. Review of Financial Studies 31, 2038–2079 (2018).</w:t>
      </w:r>
    </w:p>
    <w:p>
      <w:pPr>
        <w:numPr>
          <w:ilvl w:val="0"/>
          <w:numId w:val="1001"/>
        </w:numPr>
      </w:pPr>
      <w:r>
        <w:t xml:space="preserve">Basel Committee on Banking Supervision. CRE20: Standardised approach: individual exposures. Tech. Rep., Basel Framework, Bank for International Settlements (2019). In force 1 January 2023.</w:t>
      </w:r>
    </w:p>
    <w:p>
      <w:pPr>
        <w:numPr>
          <w:ilvl w:val="0"/>
          <w:numId w:val="1001"/>
        </w:numPr>
      </w:pPr>
      <w:r>
        <w:t xml:space="preserve">Basel Committee on Banking Supervision. Regulatory Consistency Assessment Programme (RCAP): Analysis of risk-weighted assets for credit risk in the banking book. Tech. Rep. BCBS 256, Bank for International Settlements (2013).</w:t>
      </w:r>
    </w:p>
    <w:p>
      <w:pPr>
        <w:numPr>
          <w:ilvl w:val="0"/>
          <w:numId w:val="1001"/>
        </w:numPr>
      </w:pPr>
      <w:r>
        <w:t xml:space="preserve">Board of Governors of the Federal Reserve System and Office of the Comptroller of the Currency. Supervisory guidance on model risk management. Tech. Rep., SR Letter 11-7 / OCC Bulletin 2011-12 (2011).</w:t>
      </w:r>
    </w:p>
    <w:p>
      <w:pPr>
        <w:pStyle w:val="Heading2"/>
      </w:pPr>
      <w:bookmarkStart w:id="59" w:name="author-contributions"/>
      <w:r>
        <w:t xml:space="preserve">Author contributions</w:t>
      </w:r>
      <w:bookmarkEnd w:id="59"/>
    </w:p>
    <w:p>
      <w:pPr>
        <w:pStyle w:val="FirstParagraph"/>
      </w:pPr>
      <w:r>
        <w:rPr>
          <w:b/>
        </w:rPr>
        <w:t xml:space="preserve">S.C.:</w:t>
      </w:r>
      <w:r>
        <w:t xml:space="preserve"> </w:t>
      </w:r>
      <w:r>
        <w:t xml:space="preserve">Conceptualization, Methodology, Software, Formal analysis, Data curation, Writing –</w:t>
      </w:r>
      <w:r>
        <w:t xml:space="preserve"> </w:t>
      </w:r>
      <w:r>
        <w:t xml:space="preserve">original draft, Writing – review &amp; editing.</w:t>
      </w:r>
      <w:r>
        <w:t xml:space="preserve"> </w:t>
      </w:r>
      <w:r>
        <w:rPr>
          <w:b/>
        </w:rPr>
        <w:t xml:space="preserve">R.C.:</w:t>
      </w:r>
      <w:r>
        <w:t xml:space="preserve"> </w:t>
      </w:r>
      <w:r>
        <w:t xml:space="preserve">Conceptualization, Validation, Writing –</w:t>
      </w:r>
      <w:r>
        <w:t xml:space="preserve"> </w:t>
      </w:r>
      <w:r>
        <w:t xml:space="preserve">review &amp; editing. All authors reviewed and approved the manuscript.</w:t>
      </w:r>
    </w:p>
    <w:p>
      <w:pPr>
        <w:pStyle w:val="Heading2"/>
      </w:pPr>
      <w:bookmarkStart w:id="60" w:name="ethics-declarations"/>
      <w:r>
        <w:t xml:space="preserve">Ethics declarations</w:t>
      </w:r>
      <w:bookmarkEnd w:id="60"/>
    </w:p>
    <w:p>
      <w:pPr>
        <w:pStyle w:val="FirstParagraph"/>
      </w:pPr>
      <w:r>
        <w:t xml:space="preserve">This study did not involve human participants, human tissue, or animal subjects, and used no personally</w:t>
      </w:r>
      <w:r>
        <w:t xml:space="preserve"> </w:t>
      </w:r>
      <w:r>
        <w:t xml:space="preserve">identifiable or sensitive personal data; ethical approval was therefore not required. The analysis uses</w:t>
      </w:r>
      <w:r>
        <w:t xml:space="preserve"> </w:t>
      </w:r>
      <w:r>
        <w:t xml:space="preserve">only synthetic firm profiles, publicly available corporate financial disclosures (SEC filings), and the</w:t>
      </w:r>
      <w:r>
        <w:t xml:space="preserve"> </w:t>
      </w:r>
      <w:r>
        <w:t xml:space="preserve">authors’ own model elicitations.</w:t>
      </w:r>
    </w:p>
    <w:p>
      <w:pPr>
        <w:pStyle w:val="Heading2"/>
      </w:pPr>
      <w:bookmarkStart w:id="61" w:name="additional-information"/>
      <w:r>
        <w:t xml:space="preserve">Additional Information</w:t>
      </w:r>
      <w:bookmarkEnd w:id="61"/>
    </w:p>
    <w:p>
      <w:pPr>
        <w:pStyle w:val="FirstParagraph"/>
      </w:pPr>
      <w:r>
        <w:rPr>
          <w:b/>
        </w:rPr>
        <w:t xml:space="preserve">Competing interests:</w:t>
      </w:r>
      <w:r>
        <w:t xml:space="preserve"> </w:t>
      </w:r>
      <w:r>
        <w:t xml:space="preserve">The authors declare no competing interests.</w:t>
      </w:r>
      <w:r>
        <w:br/>
      </w:r>
      <w:r>
        <w:rPr>
          <w:b/>
        </w:rPr>
        <w:t xml:space="preserve">Funding:</w:t>
      </w:r>
      <w:r>
        <w:t xml:space="preserve"> </w:t>
      </w:r>
      <w:r>
        <w:t xml:space="preserve">This research received no external funding.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hyperlink" Id="rId55" Target="https://doi.org/10.5281/zenodo.21953935" TargetMode="External" /><Relationship Type="http://schemas.openxmlformats.org/officeDocument/2006/relationships/hyperlink" Id="rId56" Target="https://github.com/samirrc2/Sensitivity-of-AI-Generated-Credit-Ratings-to-Elicitation-Choice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https://doi.org/10.5281/zenodo.21953935" TargetMode="External" /><Relationship Type="http://schemas.openxmlformats.org/officeDocument/2006/relationships/hyperlink" Id="rId56" Target="https://github.com/samirrc2/Sensitivity-of-AI-Generated-Credit-Ratings-to-Elicitation-Cho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Sensitivity of AI-Generated Credit Ratings to Elicitation Choices</dc:title>
  <dc:creator/>
  <cp:keywords/>
  <dcterms:created xsi:type="dcterms:W3CDTF">2026-08-15T16:47:26Z</dcterms:created>
  <dcterms:modified xsi:type="dcterms:W3CDTF">2026-08-15T16:47:26Z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