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ver-letter-scientific-reports"/>
      <w:r>
        <w:t xml:space="preserve">Cover letter — Scientific Reports</w:t>
      </w:r>
      <w:bookmarkEnd w:id="20"/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submit our manuscript,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Sensitivity of AI-Generated Credit Ratings to Elicitation Choices,</w:t>
      </w:r>
      <w:r>
        <w:rPr>
          <w:b/>
        </w:rPr>
        <w:t xml:space="preserve">”</w:t>
      </w:r>
      <w:r>
        <w:t xml:space="preserve"> </w:t>
      </w:r>
      <w:r>
        <w:t xml:space="preserve">for consideration as an Article in</w:t>
      </w:r>
      <w:r>
        <w:t xml:space="preserve"> </w:t>
      </w:r>
      <w:r>
        <w:rPr>
          <w:i/>
        </w:rPr>
        <w:t xml:space="preserve">Scientific Reports</w:t>
      </w:r>
      <w:r>
        <w:t xml:space="preserve">.</w:t>
      </w:r>
    </w:p>
    <w:p>
      <w:pPr>
        <w:pStyle w:val="BodyText"/>
      </w:pPr>
      <w:r>
        <w:t xml:space="preserve">Large language models are increasingly used as credit, risk, and trading analysts, on the tacit</w:t>
      </w:r>
      <w:r>
        <w:t xml:space="preserve"> </w:t>
      </w:r>
      <w:r>
        <w:t xml:space="preserve">assumption that a model holds a stable latent assessment that the prompt merely reads out. We test</w:t>
      </w:r>
      <w:r>
        <w:t xml:space="preserve"> </w:t>
      </w:r>
      <w:r>
        <w:t xml:space="preserve">that assumption directly with a</w:t>
      </w:r>
      <w:r>
        <w:t xml:space="preserve"> </w:t>
      </w:r>
      <w:r>
        <w:rPr>
          <w:b/>
        </w:rPr>
        <w:t xml:space="preserve">pre-registered specification-curve design</w:t>
      </w:r>
      <w:r>
        <w:t xml:space="preserve">: a fixed 90-item</w:t>
      </w:r>
      <w:r>
        <w:t xml:space="preserve"> </w:t>
      </w:r>
      <w:r>
        <w:t xml:space="preserve">firm-profile battery with an objective Altman Z’’ benchmark, crossed with a factorial grid of</w:t>
      </w:r>
      <w:r>
        <w:t xml:space="preserve"> </w:t>
      </w:r>
      <w:r>
        <w:t xml:space="preserve">defensible elicitation choices (provider, model version, temperature, prompt paraphrase, output</w:t>
      </w:r>
      <w:r>
        <w:t xml:space="preserve"> </w:t>
      </w:r>
      <w:r>
        <w:t xml:space="preserve">format, few-shot exemplars, and answer presentation), replicated across seeds and three model</w:t>
      </w:r>
      <w:r>
        <w:t xml:space="preserve"> </w:t>
      </w:r>
      <w:r>
        <w:t xml:space="preserve">families (12,960 elicitations). We find that although firm fundamentals explain most rating</w:t>
      </w:r>
      <w:r>
        <w:t xml:space="preserve"> </w:t>
      </w:r>
      <w:r>
        <w:t xml:space="preserve">variation, the machine credit rating retains economically meaningful sensitivity to defensible</w:t>
      </w:r>
      <w:r>
        <w:t xml:space="preserve"> </w:t>
      </w:r>
      <w:r>
        <w:t xml:space="preserve">elicitation choices and to residual run-to-run variation, more than to any single tunable design</w:t>
      </w:r>
      <w:r>
        <w:t xml:space="preserve"> </w:t>
      </w:r>
      <w:r>
        <w:t xml:space="preserve">choice; that the fragility survives honored determinism and cannot be escaped by switching or</w:t>
      </w:r>
      <w:r>
        <w:t xml:space="preserve"> </w:t>
      </w:r>
      <w:r>
        <w:t xml:space="preserve">pooling vendors; and that the opinion holds no stable rating resolution, crossing the</w:t>
      </w:r>
      <w:r>
        <w:t xml:space="preserve"> </w:t>
      </w:r>
      <w:r>
        <w:t xml:space="preserve">investment-grade/high-yield line on 27% of matched elicitation pairs. We translate this into the</w:t>
      </w:r>
      <w:r>
        <w:t xml:space="preserve"> </w:t>
      </w:r>
      <w:r>
        <w:t xml:space="preserve">units a risk function acts on—portfolio turnover, credit spread, and a post-hoc Basel capital</w:t>
      </w:r>
      <w:r>
        <w:t xml:space="preserve"> </w:t>
      </w:r>
      <w:r>
        <w:t xml:space="preserve">recast—and, to answer the</w:t>
      </w:r>
      <w:r>
        <w:t xml:space="preserve"> </w:t>
      </w:r>
      <w:r>
        <w:t xml:space="preserve">“</w:t>
      </w:r>
      <w:r>
        <w:t xml:space="preserve">use real data</w:t>
      </w:r>
      <w:r>
        <w:t xml:space="preserve">”</w:t>
      </w:r>
      <w:r>
        <w:t xml:space="preserve"> </w:t>
      </w:r>
      <w:r>
        <w:t xml:space="preserve">objection, we first</w:t>
      </w:r>
      <w:r>
        <w:t xml:space="preserve"> </w:t>
      </w:r>
      <w:r>
        <w:rPr>
          <w:b/>
        </w:rPr>
        <w:t xml:space="preserve">demonstrate that naive real-firm LLM</w:t>
      </w:r>
      <w:r>
        <w:rPr>
          <w:b/>
        </w:rPr>
        <w:t xml:space="preserve"> </w:t>
      </w:r>
      <w:r>
        <w:rPr>
          <w:b/>
        </w:rPr>
        <w:t xml:space="preserve">evaluation can be contaminated by memorization</w:t>
      </w:r>
      <w:r>
        <w:t xml:space="preserve"> </w:t>
      </w:r>
      <w:r>
        <w:t xml:space="preserve">and then show, under a pre-registered fingerprinting</w:t>
      </w:r>
      <w:r>
        <w:t xml:space="preserve"> </w:t>
      </w:r>
      <w:r>
        <w:t xml:space="preserve">decontamination gate, that</w:t>
      </w:r>
      <w:r>
        <w:t xml:space="preserve"> </w:t>
      </w:r>
      <w:r>
        <w:rPr>
          <w:b/>
        </w:rPr>
        <w:t xml:space="preserve">substantial specification instability is also observed on real</w:t>
      </w:r>
      <w:r>
        <w:rPr>
          <w:b/>
        </w:rPr>
        <w:t xml:space="preserve"> </w:t>
      </w:r>
      <w:r>
        <w:rPr>
          <w:b/>
        </w:rPr>
        <w:t xml:space="preserve">anonymized issuers</w:t>
      </w:r>
      <w:r>
        <w:t xml:space="preserve"> </w:t>
      </w:r>
      <w:r>
        <w:t xml:space="preserve">benchmarked to disclosed agency ratings.</w:t>
      </w:r>
    </w:p>
    <w:p>
      <w:pPr>
        <w:pStyle w:val="BodyText"/>
      </w:pPr>
      <w:r>
        <w:t xml:space="preserve">We believe the work fits</w:t>
      </w:r>
      <w:r>
        <w:t xml:space="preserve"> </w:t>
      </w:r>
      <w:r>
        <w:rPr>
          <w:i/>
        </w:rPr>
        <w:t xml:space="preserve">Scientific Reports</w:t>
      </w:r>
      <w:r>
        <w:t xml:space="preserve"> </w:t>
      </w:r>
      <w:r>
        <w:t xml:space="preserve">for three reasons. (i)</w:t>
      </w:r>
      <w:r>
        <w:t xml:space="preserve"> </w:t>
      </w:r>
      <w:r>
        <w:rPr>
          <w:b/>
        </w:rPr>
        <w:t xml:space="preserve">Broad relevance</w:t>
      </w:r>
      <w:r>
        <w:t xml:space="preserve">: it concerns</w:t>
      </w:r>
      <w:r>
        <w:t xml:space="preserve"> </w:t>
      </w:r>
      <w:r>
        <w:t xml:space="preserve">the reliability of AI decision systems in a high-stakes deployment, of interest across machine</w:t>
      </w:r>
      <w:r>
        <w:t xml:space="preserve"> </w:t>
      </w:r>
      <w:r>
        <w:t xml:space="preserve">learning, finance, and metascience. (ii)</w:t>
      </w:r>
      <w:r>
        <w:t xml:space="preserve"> </w:t>
      </w:r>
      <w:r>
        <w:rPr>
          <w:b/>
        </w:rPr>
        <w:t xml:space="preserve">Methodological rigor</w:t>
      </w:r>
      <w:r>
        <w:t xml:space="preserve">: the design is pre-registered, the</w:t>
      </w:r>
      <w:r>
        <w:t xml:space="preserve"> </w:t>
      </w:r>
      <w:r>
        <w:t xml:space="preserve">analyses are confirmatory with permutation tests and cluster-bootstrap intervals, and the</w:t>
      </w:r>
      <w:r>
        <w:t xml:space="preserve"> </w:t>
      </w:r>
      <w:r>
        <w:t xml:space="preserve">decontamination gate is, to our knowledge, the first direct evidence that anonymized real-firm LLM</w:t>
      </w:r>
      <w:r>
        <w:t xml:space="preserve"> </w:t>
      </w:r>
      <w:r>
        <w:t xml:space="preserve">evaluation can be memorization-contaminated even without names in the prompt. (iii)</w:t>
      </w:r>
      <w:r>
        <w:t xml:space="preserve"> </w:t>
      </w:r>
      <w:r>
        <w:rPr>
          <w:b/>
        </w:rPr>
        <w:t xml:space="preserve">Full</w:t>
      </w:r>
      <w:r>
        <w:rPr>
          <w:b/>
        </w:rPr>
        <w:t xml:space="preserve"> </w:t>
      </w:r>
      <w:r>
        <w:rPr>
          <w:b/>
        </w:rPr>
        <w:t xml:space="preserve">reproducibility</w:t>
      </w:r>
      <w:r>
        <w:t xml:space="preserve">: the entire 12,960-response corpus, code, and manifest hashes are released; every</w:t>
      </w:r>
      <w:r>
        <w:t xml:space="preserve"> </w:t>
      </w:r>
      <w:r>
        <w:t xml:space="preserve">reported number regenerates offline and byte-for-byte from the frozen data.</w:t>
      </w:r>
    </w:p>
    <w:p>
      <w:pPr>
        <w:pStyle w:val="BodyText"/>
      </w:pPr>
      <w:r>
        <w:t xml:space="preserve">The manuscript is original, not under consideration elsewhere, and all authors approve the</w:t>
      </w:r>
      <w:r>
        <w:t xml:space="preserve"> </w:t>
      </w:r>
      <w:r>
        <w:t xml:space="preserve">submission. We declare no competing interests. The corresponding author is Robin Chawla</w:t>
      </w:r>
      <w:r>
        <w:t xml:space="preserve"> </w:t>
      </w:r>
      <w:r>
        <w:t xml:space="preserve">(robin.chawla.cse14@iitbhu.ac.in).</w:t>
      </w:r>
    </w:p>
    <w:p>
      <w:pPr>
        <w:pStyle w:val="BodyText"/>
      </w:pPr>
      <w:r>
        <w:rPr>
          <w:b/>
        </w:rPr>
        <w:t xml:space="preserve">Referees to exclude.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</w:rPr>
        <w:t xml:space="preserve">Prior discussions.</w:t>
      </w:r>
      <w:r>
        <w:t xml:space="preserve"> </w:t>
      </w:r>
      <w:r>
        <w:t xml:space="preserve">We have not had any prior discussions with a Scientific Reports Editorial</w:t>
      </w:r>
      <w:r>
        <w:t xml:space="preserve"> </w:t>
      </w:r>
      <w:r>
        <w:t xml:space="preserve">Board Member about the work described in this manuscript.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Samir Chincholikar and Robin Chawla</w:t>
      </w:r>
      <w:r>
        <w:t xml:space="preserve"> </w:t>
      </w:r>
      <w:r>
        <w:t xml:space="preserve">Independent researchers, New York, USA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2026-08-15T14:32:13Z</dcterms:created>
  <dcterms:modified xsi:type="dcterms:W3CDTF">2026-08-15T14:32:13Z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