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To the Editors</w:t>
      </w:r>
      <w:r>
        <w:br/>
      </w:r>
      <w:r>
        <w:rPr>
          <w:i/>
        </w:rPr>
        <w:t xml:space="preserve">Scientific Reports</w:t>
      </w:r>
    </w:p>
    <w:p>
      <w:pPr>
        <w:pStyle w:val="BodyText"/>
      </w:pPr>
      <w:r>
        <w:rPr>
          <w:b/>
        </w:rPr>
        <w:t xml:space="preserve">Re: Article submission —</w:t>
      </w:r>
      <w:r>
        <w:rPr>
          <w:b/>
        </w:rPr>
        <w:t xml:space="preserve"> </w:t>
      </w:r>
      <w:r>
        <w:rPr>
          <w:b/>
        </w:rPr>
        <w:t xml:space="preserve">“</w:t>
      </w:r>
      <w:r>
        <w:rPr>
          <w:b/>
        </w:rPr>
        <w:t xml:space="preserve">Sensitivity of AI-Generated Credit Ratings to Elicitation Choices.</w:t>
      </w:r>
      <w:r>
        <w:rPr>
          <w:b/>
        </w:rPr>
        <w:t xml:space="preserve">”</w:t>
      </w:r>
    </w:p>
    <w:p>
      <w:pPr>
        <w:pStyle w:val="BodyText"/>
      </w:pPr>
      <w:r>
        <w:t xml:space="preserve">Dear Editors,</w:t>
      </w:r>
    </w:p>
    <w:p>
      <w:pPr>
        <w:pStyle w:val="BodyText"/>
      </w:pPr>
      <w:r>
        <w:t xml:space="preserve">We are pleased to submit the above manuscript for consideration as an Article in</w:t>
      </w:r>
      <w:r>
        <w:t xml:space="preserve"> </w:t>
      </w:r>
      <w:r>
        <w:rPr>
          <w:i/>
        </w:rPr>
        <w:t xml:space="preserve">Scientific Reports</w:t>
      </w:r>
      <w:r>
        <w:t xml:space="preserve">. Using a pre-registered specification-curve design, we measure whether large-language-model credit ratings are stable when the underlying financial information is held fixed but the elicitation specification varies. Across a fixed 90-item battery crossed with a factorial grid of provider, model version, temperature, prompt paraphrase, output format, few-shot exemplars, and presentation (</w:t>
      </w:r>
      <m:oMath>
        <m:r>
          <m:t>12</m:t>
        </m:r>
        <m:r>
          <m:t>,</m:t>
        </m:r>
        <m:r>
          <m:t>960</m:t>
        </m:r>
      </m:oMath>
      <w:r>
        <w:t xml:space="preserve"> </w:t>
      </w:r>
      <w:r>
        <w:t xml:space="preserve">elicitations across three model families), no controllable elicitation axis explains more than about</w:t>
      </w:r>
      <w:r>
        <w:t xml:space="preserve"> </w:t>
      </w:r>
      <m:oMath>
        <m:r>
          <m:t>5</m:t>
        </m:r>
        <m:r>
          <m:t>%</m:t>
        </m:r>
      </m:oMath>
      <w:r>
        <w:t xml:space="preserve"> </w:t>
      </w:r>
      <w:r>
        <w:t xml:space="preserve">of rating variance, the instability survives verified deterministic execution (permutation</w:t>
      </w:r>
      <w:r>
        <w:t xml:space="preserve"> </w:t>
      </w:r>
      <m:oMath>
        <m:r>
          <m:t>p</m:t>
        </m:r>
        <m:r>
          <m:t>=</m:t>
        </m:r>
        <m:r>
          <m:t>0.001</m:t>
        </m:r>
      </m:oMath>
      <w:r>
        <w:t xml:space="preserve">), and</w:t>
      </w:r>
      <w:r>
        <w:t xml:space="preserve"> </w:t>
      </w:r>
      <m:oMath>
        <m:r>
          <m:t>26.8</m:t>
        </m:r>
        <m:r>
          <m:t>%</m:t>
        </m:r>
      </m:oMath>
      <w:r>
        <w:t xml:space="preserve"> </w:t>
      </w:r>
      <w:r>
        <w:t xml:space="preserve">of matched elicitation pairs disagree at the investment-grade/high-yield boundary. We translate this into decision-relevant units —</w:t>
      </w:r>
      <w:r>
        <w:t xml:space="preserve"> </w:t>
      </w:r>
      <m:oMath>
        <m:r>
          <m:t>56.8</m:t>
        </m:r>
        <m:r>
          <m:t>%</m:t>
        </m:r>
      </m:oMath>
      <w:r>
        <w:t xml:space="preserve"> </w:t>
      </w:r>
      <w:r>
        <w:t xml:space="preserve">implied portfolio turnover and a $2.0–4.2bn Pillar-1 capital range on the same $45bn book — and show the pattern persists on 31 decontaminated real issuers under a pre-registered fingerprinting gate. Our estimand throughout is rating stability, not accuracy.</w:t>
      </w:r>
    </w:p>
    <w:p>
      <w:pPr>
        <w:pStyle w:val="BodyText"/>
      </w:pPr>
      <w:r>
        <w:t xml:space="preserve">The work fits</w:t>
      </w:r>
      <w:r>
        <w:t xml:space="preserve"> </w:t>
      </w:r>
      <w:r>
        <w:rPr>
          <w:i/>
        </w:rPr>
        <w:t xml:space="preserve">Scientific Reports</w:t>
      </w:r>
      <w:r>
        <w:t xml:space="preserve"> </w:t>
      </w:r>
      <w:r>
        <w:t xml:space="preserve">through its broad relevance to the reliability of AI decision systems and its methodological rigor: the design is pre-registered, inference is distribution-free, and a deterministic, offline reproducibility capsule (Code Ocean DOI assigned at deposit; MIT license) regenerates every reported number, table, and figure byte-for-byte. The study uses only synthetic firm profiles and publicly available SEC filings, involves no human or animal subjects, and discloses its use of generative-AI assistance in the Methods.</w:t>
      </w:r>
    </w:p>
    <w:p>
      <w:pPr>
        <w:pStyle w:val="BodyText"/>
      </w:pPr>
      <w:r>
        <w:t xml:space="preserve">The manuscript is original, is not under consideration elsewhere, and has been approved by both authors, who declare no competing interests and received no external funding. We have not discussed this work with a</w:t>
      </w:r>
      <w:r>
        <w:t xml:space="preserve"> </w:t>
      </w:r>
      <w:r>
        <w:rPr>
          <w:i/>
        </w:rPr>
        <w:t xml:space="preserve">Scientific Reports</w:t>
      </w:r>
      <w:r>
        <w:t xml:space="preserve"> </w:t>
      </w:r>
      <w:r>
        <w:t xml:space="preserve">Editorial Board Member and request no referee exclusions. Thank you for your consideration.</w:t>
      </w:r>
    </w:p>
    <w:p>
      <w:pPr>
        <w:pStyle w:val="BodyText"/>
      </w:pPr>
      <w:r>
        <w:t xml:space="preserve">Sincerely,</w:t>
      </w:r>
    </w:p>
    <w:p>
      <w:pPr>
        <w:pStyle w:val="BodyText"/>
      </w:pPr>
      <w:r>
        <w:t xml:space="preserve">Robin Chawla</w:t>
      </w:r>
      <w:r>
        <w:br/>
      </w:r>
      <w:r>
        <w:t xml:space="preserve">Corresponding Author (on behalf of Samir Chincholikar and Robin Chawla)</w:t>
      </w:r>
      <w:r>
        <w:br/>
      </w:r>
      <w:hyperlink r:id="rId20">
        <w:r>
          <w:rPr>
            <w:rStyle w:val="Hyperlink"/>
          </w:rPr>
          <w:t xml:space="preserve">robin.chawla.cse14@iitbhu.ac.in</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mailto:robin.chawla.cse14@iitbhu.ac.in" TargetMode="External" /></Relationships>
</file>

<file path=word/_rels/footnotes.xml.rels><?xml version="1.0" encoding="UTF-8"?>
<Relationships xmlns="http://schemas.openxmlformats.org/package/2006/relationships"><Relationship Type="http://schemas.openxmlformats.org/officeDocument/2006/relationships/hyperlink" Id="rId20" Target="mailto:robin.chawla.cse14@iitbhu.ac.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2026-08-15T14:34:04Z</dcterms:created>
  <dcterms:modified xsi:type="dcterms:W3CDTF">2026-08-15T14:34:04Z</dcterms:modified>
</cp:coreProperties>
</file>

<file path=docProps/custom.xml><?xml version="1.0" encoding="utf-8"?>
<Properties xmlns="http://schemas.openxmlformats.org/officeDocument/2006/custom-properties" xmlns:vt="http://schemas.openxmlformats.org/officeDocument/2006/docPropsVTypes"/>
</file>