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2.3% to 85.7%—an 83.3 percentage-point spread (95% confidence interval 71.8 to 93.7 points, cluster bootstrap over eight case-template strata)—and the models disagreed on 88.7% of legitimate cases. The differences were systematic: false-positive rates decreased monotonically with model tier within each of the two provider families studied,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projected daily alert workload differed by 36- to 196-fold across the four deployable single-call configurations, and by about 35-fold under the preregistered per-case aggregate; the ordering of the models was invariant across prompts, seeds and prevalence. These findings show that foundation-model choice is not merely an AML procurement or implementation decision but a core operational risk parameter. Because commercially accessed models may be updated, substituted, repriced or retired by providers, model-tier substitution and provider-managed alias redirection should be treated as first-class model-risk events, and model identity and operating-point stability should be explicitly incorporated into model-risk governance, validation and ongoing 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12.6–51.2), GPT-4.1-mini to GPT-4o-mini (3 and 149; 48.7 points, CI 25.8–72.5), and Gemini Flash to Gemini Flash-Lite (0 and 125; 41.7 points, CI 19.7–65.2).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What the data show is that the ordering of the models persists across both prompt formulations and all four single-call configurations, with the spread between 80.3 and 85.3 percentage points in every one, which is more stability than a simple threshold shift would predict. This is not a demonstration that score-level calibration could not compress the spread;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w:r>
              <w:t xml:space="preserve">Cochran’s</w:t>
            </w:r>
            <w:r>
              <w:t xml:space="preserve"> </w:t>
            </w:r>
            <m:oMath>
              <m:r>
                <m:t>Q</m:t>
              </m:r>
            </m:oMath>
          </w:p>
        </w:tc>
      </w:tr>
      <w:tr>
        <w:tc>
          <w:tcPr/>
          <w:p>
            <w:pPr>
              <w:pStyle w:val="Compact"/>
              <w:jc w:val="left"/>
            </w:pPr>
            <w:r>
              <w:t xml:space="preserve">Ties to flag (preregistered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 (dropped)</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 to flag</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(as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prompt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prompt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prompt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prompt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Even under D4 the four-call aggregate remains an evaluation construct rather than a deployable screening configuration, because a deployed screener issues one call per transaction;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response corpus (12</w:t>
      </w:r>
      <w:r>
        <w:t xml:space="preserve">,</w:t>
      </w:r>
      <w:r>
        <w:t xml:space="preserve">000 calls by design, 12</w:t>
      </w:r>
      <w:r>
        <w:t xml:space="preserve">,</w:t>
      </w:r>
      <w:r>
        <w:t xml:space="preserve">120 realized; Section </w:t>
      </w:r>
      <w:hyperlink w:anchor="sec:design">
        <w:r>
          <w:rPr>
            <w:rStyle w:val="Hyperlink"/>
          </w:rPr>
          <w:t xml:space="preserve">2.2</w:t>
        </w:r>
      </w:hyperlink>
      <w:r>
        <w:t xml:space="preserve">)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(for the Google models, the alias string only),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2026-10-16T17:09:41Z</dcterms:created>
  <dcterms:modified xsi:type="dcterms:W3CDTF">2026-10-16T17:09:41Z</dcterms:modified>
</cp:coreProperties>
</file>

<file path=docProps/custom.xml><?xml version="1.0" encoding="utf-8"?>
<Properties xmlns="http://schemas.openxmlformats.org/officeDocument/2006/custom-properties" xmlns:vt="http://schemas.openxmlformats.org/officeDocument/2006/docPropsVTypes"/>
</file>