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 anti-money 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 template strata)—and the models disagreed on 88.7% of legitimate cases. Differences were systematic: rates decreased monotonically with model tier within both provider families studied, so lower-tier models over-flagged legitimate activity. The models occupied different points on the sensitivity–specificity trade-off, not merely different accuracy levels. In an illustrative scenario of one million daily transactions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 tier substitution and alias redirection should be treated as first-class model risk events, and operating 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 laundering (AML) monitoring [1, 10, 19, 22].</w:t>
      </w:r>
    </w:p>
    <w:p>
      <w:pPr>
        <w:pStyle w:val="BodyText"/>
      </w:pPr>
      <w:r>
        <w:t xml:space="preserve">Machine learning methods have been introduced into AML and related financial crime applications largely to improve this trade-off. Existing research in this domain includes supervised classifiers, ensemble methods, deep 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 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 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 distribution shift that a traditional drift 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 crime literature has focused on reducing false positives through class 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 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 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 learning baselines, and translate the measured operating points into an illustrative low-prevalence alert 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 tier substitution and provider-managed</w:t>
      </w:r>
      <w:r>
        <w:t xml:space="preserve"> </w:t>
      </w:r>
      <w:r>
        <w:rPr>
          <w:rStyle w:val="VerbatimChar"/>
        </w:rPr>
        <w:t xml:space="preserve">-latest</w:t>
      </w:r>
      <w:r>
        <w:t xml:space="preserve"> </w:t>
      </w:r>
      <w:r>
        <w:t xml:space="preserve">alias redirection as first-class model risk events, and propose a standing operating 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 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 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 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 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t xml:space="preserve">Because the choice of rule is consequential, the results are reported under four further tie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 to 18.3, 8.3, 7.0, 2.0 and 0.0%. Those rates are therefore attainable without reference to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 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All Cochran’s</w:t>
      </w:r>
      <w:r>
        <w:t xml:space="preserve"> </w:t>
      </w:r>
      <m:oMath>
        <m:r>
          <m:t>Q</m:t>
        </m:r>
      </m:oMath>
      <w:r>
        <w:t xml:space="preserve"> </w:t>
      </w:r>
      <w: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 template strata (cross-model spread and disagreement metrics), additional 95% percentile bootstrap confidence intervals were constructed via cluster resampling over the eight case 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 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 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 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 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 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 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 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In principle, model-specific threshold tuning could narrow the false-positive-rate spread, but models could still differ in the miss rates achieved at a common false-positive rate.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 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 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 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 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 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dropped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 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Results are reported under four further tie policies and each deployable single-call configuration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 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 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 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 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tie rule</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Results under alternative tie policies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 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 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 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2026-10-21T01:16:18Z</dcterms:created>
  <dcterms:modified xsi:type="dcterms:W3CDTF">2026-10-21T01:16:18Z</dcterms:modified>
</cp:coreProperties>
</file>

<file path=docProps/custom.xml><?xml version="1.0" encoding="utf-8"?>
<Properties xmlns="http://schemas.openxmlformats.org/officeDocument/2006/custom-properties" xmlns:vt="http://schemas.openxmlformats.org/officeDocument/2006/docPropsVTypes"/>
</file>