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 each</w:t>
      </w:r>
      <w:r>
        <w:t xml:space="preserve"> </w:t>
      </w:r>
      <w:r>
        <w:rPr>
          <w:strike/>
        </w:rPr>
        <w:t xml:space="preserve">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of the two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w:t>
      </w:r>
      <w:r>
        <w:t xml:space="preserve"> </w:t>
      </w:r>
      <w:r>
        <w:rPr>
          <w:highlight w:val="yellow"/>
        </w:rPr>
        <w:t xml:space="preserve">accuracy levels. In an illustrative</w:t>
      </w:r>
      <w:r>
        <w:t xml:space="preserve"> </w:t>
      </w:r>
      <w:r>
        <w:t xml:space="preserve">scenario of one million transactions per</w:t>
      </w:r>
      <w:r>
        <w:t xml:space="preserve"> </w:t>
      </w:r>
      <w:r>
        <w:rPr>
          <w:strike/>
        </w:rPr>
        <w:t xml:space="preserve">day, the observed operating points differed by about 200-fold in projected daily alert workload. These findings show that foundation-model choice is</w:t>
      </w:r>
      <w:r>
        <w:t xml:space="preserve"> </w:t>
      </w:r>
      <w:r>
        <w:rPr>
          <w:highlight w:val="yellow"/>
        </w:rPr>
        <w:t xml:space="preserve">day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rPr>
          <w:strike/>
        </w:rPr>
        <w:t xml:space="preserve">substituted, repriced or retired by providers, model identity and operating-point stability should be explicitly incorporated into model-risk governance, validation and ongoing monitoring.</w:t>
      </w:r>
      <w:r>
        <w:t xml:space="preserve"> </w:t>
      </w:r>
      <w:r>
        <w:rPr>
          <w:highlight w:val="yellow"/>
        </w:rPr>
        <w:t xml:space="preserve">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 machine-learning</w:t>
      </w:r>
      <w:r>
        <w:t xml:space="preserve"> </w:t>
      </w:r>
      <w:r>
        <w:rPr>
          <w:strike/>
        </w:rPr>
        <w:t xml:space="preserve">baselines;</w:t>
      </w:r>
      <w:r>
        <w:t xml:space="preserve"> </w:t>
      </w:r>
      <w:r>
        <w:rPr>
          <w:highlight w:val="yellow"/>
        </w:rPr>
        <w:t xml:space="preserve">baselines,</w:t>
      </w:r>
      <w:r>
        <w:t xml:space="preserve"> </w:t>
      </w:r>
      <w:r>
        <w:t xml:space="preserve">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w:t>
      </w:r>
      <w:r>
        <w:t xml:space="preserve"> </w:t>
      </w:r>
      <w:r>
        <w:rPr>
          <w:strike/>
        </w:rPr>
        <w:t xml:space="preserve">summaries; suspicious</w:t>
      </w:r>
      <w:r>
        <w:t xml:space="preserve"> </w:t>
      </w:r>
      <w:r>
        <w:rPr>
          <w:highlight w:val="yellow"/>
        </w:rPr>
        <w:t xml:space="preserve">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 to 93.7, cluster bootstrap over the eight case-template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 to 51.2), GPT-4.1-mini to GPT-4o-mini (3 and 149, 48.7 points, CI 25.8 to 72.5), and Gemini Flash to Gemini Flash-Lite (0 and 125, 41.7 points, CI 19.7 to 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w:t>
      </w:r>
      <w:r>
        <w:t xml:space="preserve"> </w:t>
      </w:r>
      <w:r>
        <w:rPr>
          <w:highlight w:val="yellow"/>
        </w:rPr>
        <w:t xml:space="preserve">features,</w:t>
      </w:r>
      <w:r>
        <w:t xml:space="preserve"> </w:t>
      </w:r>
      <w:r>
        <w:t xml:space="preserve">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w:t>
      </w:r>
      <w:r>
        <w:t xml:space="preserve"> </w:t>
      </w:r>
      <w:r>
        <w:t xml:space="preserve">[6]</w:t>
      </w:r>
      <w:r>
        <w:rPr>
          <w:highlight w:val="yellow"/>
        </w:rPr>
        <w:t xml:space="preserve">. Broader</w:t>
      </w:r>
      <w:r>
        <w:t xml:space="preserve"> </w:t>
      </w:r>
      <w:r>
        <w:t xml:space="preserve">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w:t>
      </w:r>
      <w:r>
        <w:t xml:space="preserve"> </w:t>
      </w:r>
      <w:r>
        <w:rPr>
          <w:strike/>
        </w:rPr>
        <w:t xml:space="preserve">performance; the</w:t>
      </w:r>
      <w:r>
        <w:t xml:space="preserve"> </w:t>
      </w:r>
      <w:r>
        <w:rPr>
          <w:highlight w:val="yellow"/>
        </w:rPr>
        <w:t xml:space="preserve">performance.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2"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rPr>
          <w:strike/>
        </w:rPr>
        <w:t xml:space="preserve">(MIT licence); the</w:t>
      </w:r>
      <w:r>
        <w:t xml:space="preserve"> </w:t>
      </w:r>
      <w:r>
        <w:rPr>
          <w:highlight w:val="yellow"/>
        </w:rPr>
        <w:t xml:space="preserve">under the MIT licence, and archived on Zenodo under the concept DOI</w:t>
      </w:r>
      <w:r>
        <w:t xml:space="preserve"> </w:t>
      </w:r>
      <w:hyperlink r:id="rId61">
        <w:r>
          <w:rPr>
            <w:rStyle w:val="Hyperlink"/>
          </w:rPr>
          <w:t xml:space="preserve">https://doi.org/10.5281/zenodo.23424852</w:t>
        </w:r>
      </w:hyperlink>
      <w:r>
        <w:rPr>
          <w:highlight w:val="yellow"/>
        </w:rPr>
        <w:t xml:space="preserve">, which resolves to the most recent version. The</w:t>
      </w:r>
      <w:r>
        <w:t xml:space="preserve"> </w:t>
      </w:r>
      <w:r>
        <w:t xml:space="preserve">repository root includes</w:t>
      </w:r>
      <w:r>
        <w:t xml:space="preserve"> </w:t>
      </w:r>
      <w:r>
        <w:rPr>
          <w:rStyle w:val="VerbatimChar"/>
        </w:rPr>
        <w:t xml:space="preserve">REPRODUCIBILITY_DOCUMENTATION.pdf</w:t>
      </w:r>
      <w:r>
        <w:t xml:space="preserve">, a</w:t>
      </w:r>
      <w:r>
        <w:t xml:space="preserve"> </w:t>
      </w:r>
      <w:r>
        <w:rPr>
          <w:strike/>
        </w:rPr>
        <w:t xml:space="preserve">section-by-section guide to every input, script,</w:t>
      </w:r>
      <w:r>
        <w:t xml:space="preserve"> </w:t>
      </w:r>
      <w:r>
        <w:rPr>
          <w:highlight w:val="yellow"/>
        </w:rPr>
        <w:t xml:space="preserve">guide to every input, script</w:t>
      </w:r>
      <w:r>
        <w:t xml:space="preserve"> </w:t>
      </w:r>
      <w:r>
        <w:t xml:space="preserve">and output and to the</w:t>
      </w:r>
      <w:r>
        <w:t xml:space="preserve"> </w:t>
      </w:r>
      <w:r>
        <w:rPr>
          <w:highlight w:val="yellow"/>
        </w:rPr>
        <w:t xml:space="preserve">offline reproduction, which runs with one command.</w:t>
      </w:r>
      <w:r>
        <w:t xml:space="preserve"> </w:t>
      </w:r>
      <w:r>
        <w:t xml:space="preserve">The study uses only synthetic</w:t>
      </w:r>
      <w:r>
        <w:t xml:space="preserve"> </w:t>
      </w:r>
      <w:r>
        <w:rPr>
          <w:strike/>
        </w:rPr>
        <w:t xml:space="preserve">data: no human participants, no proprietary records, and no live model access are needed</w:t>
      </w:r>
      <w:r>
        <w:t xml:space="preserve"> </w:t>
      </w:r>
      <w:r>
        <w:rPr>
          <w:highlight w:val="yellow"/>
        </w:rPr>
        <w:t xml:space="preserve">transaction data. No human participants, proprietary records or live model access are required</w:t>
      </w:r>
      <w:r>
        <w:t xml:space="preserve"> </w:t>
      </w:r>
      <w:r>
        <w:t xml:space="preserve">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w:t>
      </w:r>
      <w:r>
        <w:t xml:space="preserve"> </w:t>
      </w:r>
      <w:r>
        <w:rPr>
          <w:strike/>
        </w:rPr>
        <w:t xml:space="preserve">applicable (synthetic data only;</w:t>
      </w:r>
      <w:r>
        <w:t xml:space="preserve"> </w:t>
      </w:r>
      <w:r>
        <w:rPr>
          <w:highlight w:val="yellow"/>
        </w:rPr>
        <w:t xml:space="preserve">applicable. The study uses synthetic data only, with</w:t>
      </w:r>
      <w:r>
        <w:t xml:space="preserve"> </w:t>
      </w:r>
      <w:r>
        <w:t xml:space="preserve">no human participants, human tissue or</w:t>
      </w:r>
      <w:r>
        <w:t xml:space="preserve"> </w:t>
      </w:r>
      <w:r>
        <w:rPr>
          <w:strike/>
        </w:rPr>
        <w:t xml:space="preserve">animals).</w:t>
      </w:r>
      <w:r>
        <w:t xml:space="preserve"> </w:t>
      </w:r>
      <w:r>
        <w:rPr>
          <w:b/>
          <w:bCs/>
          <w:strike/>
        </w:rPr>
        <w:t xml:space="preserve">Consent for publication.</w:t>
      </w:r>
      <w:r>
        <w:rPr>
          <w:strike/>
        </w:rPr>
        <w:t xml:space="preserve"> </w:t>
      </w:r>
      <w:r>
        <w:rPr>
          <w:strike/>
        </w:rPr>
        <w:t xml:space="preserve">Not applicable.</w:t>
      </w:r>
      <w:r>
        <w:t xml:space="preserve"> </w:t>
      </w:r>
      <w:r>
        <w:rPr>
          <w:b/>
          <w:bCs/>
          <w:strike/>
        </w:rPr>
        <w:t xml:space="preserve">Materials availability.</w:t>
      </w:r>
      <w:r>
        <w:rPr>
          <w:strike/>
        </w:rPr>
        <w:t xml:space="preserve"> </w:t>
      </w:r>
      <w:r>
        <w:rPr>
          <w:strike/>
        </w:rPr>
        <w:t xml:space="preserve">Not applicable (the</w:t>
      </w:r>
      <w:r>
        <w:t xml:space="preserve"> </w:t>
      </w:r>
      <w:r>
        <w:rPr>
          <w:highlight w:val="yellow"/>
        </w:rPr>
        <w:t xml:space="preserve">animals.</w:t>
      </w:r>
    </w:p>
    <w:p>
      <w:pPr>
        <w:pStyle w:val="BodyText"/>
      </w:pPr>
      <w:r>
        <w:rPr>
          <w:b/>
          <w:bCs/>
        </w:rPr>
        <w:t xml:space="preserve">Consent for publication.</w:t>
      </w:r>
      <w:r>
        <w:t xml:space="preserve"> </w:t>
      </w:r>
      <w:r>
        <w:rPr>
          <w:highlight w:val="yellow"/>
        </w:rPr>
        <w:t xml:space="preserve">Not applicable.</w:t>
      </w:r>
    </w:p>
    <w:p>
      <w:pPr>
        <w:pStyle w:val="BodyText"/>
      </w:pPr>
      <w:r>
        <w:rPr>
          <w:b/>
          <w:bCs/>
        </w:rPr>
        <w:t xml:space="preserve">Materials availability.</w:t>
      </w:r>
      <w:r>
        <w:t xml:space="preserve"> </w:t>
      </w:r>
      <w:r>
        <w:rPr>
          <w:highlight w:val="yellow"/>
        </w:rPr>
        <w:t xml:space="preserve">Not applicable. The</w:t>
      </w:r>
      <w:r>
        <w:t xml:space="preserve"> </w:t>
      </w:r>
      <w:r>
        <w:t xml:space="preserve">study uses only synthetic data and open-source</w:t>
      </w:r>
      <w:r>
        <w:t xml:space="preserve"> </w:t>
      </w:r>
      <w:r>
        <w:rPr>
          <w:strike/>
        </w:rPr>
        <w:t xml:space="preserve">software; no physical materials).</w:t>
      </w:r>
      <w:r>
        <w:t xml:space="preserve"> </w:t>
      </w:r>
      <w:r>
        <w:rPr>
          <w:highlight w:val="yellow"/>
        </w:rPr>
        <w:t xml:space="preserve">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2"/>
    <w:bookmarkStart w:id="87"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3">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4">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5">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6">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7">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8">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9">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0">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1">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2">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3">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4">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5">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6">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7">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8">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9">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0">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1">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2">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3">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4">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5">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6">
        <w:r>
          <w:rPr>
            <w:rStyle w:val="Hyperlink"/>
          </w:rPr>
          <w:t xml:space="preserve">https://doi.org/10.1007/s44163-026-01283-3</w:t>
        </w:r>
      </w:hyperlink>
    </w:p>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3"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79"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1"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86"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2"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76" Target="https://doi.org/10.1038/s41597-023-02569-2" TargetMode="External" /><Relationship Type="http://schemas.openxmlformats.org/officeDocument/2006/relationships/hyperlink" Id="rId78" Target="https://doi.org/10.1073/pnas.2018340118" TargetMode="External" /><Relationship Type="http://schemas.openxmlformats.org/officeDocument/2006/relationships/hyperlink" Id="rId85"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77" Target="https://doi.org/10.1108/JMLC-07-2019-0055" TargetMode="External" /><Relationship Type="http://schemas.openxmlformats.org/officeDocument/2006/relationships/hyperlink" Id="rId75" Target="https://doi.org/10.1109/TKDE.2008.239" TargetMode="External" /><Relationship Type="http://schemas.openxmlformats.org/officeDocument/2006/relationships/hyperlink" Id="rId84" Target="https://doi.org/10.1145/2939672.2939778" TargetMode="External" /><Relationship Type="http://schemas.openxmlformats.org/officeDocument/2006/relationships/hyperlink" Id="rId80" Target="https://doi.org/10.1145/3287560.3287596" TargetMode="External" /><Relationship Type="http://schemas.openxmlformats.org/officeDocument/2006/relationships/hyperlink" Id="rId83"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2"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4"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1" Target="https://doi.org/10.5281/zenodo.23424852" TargetMode="External" /><Relationship Type="http://schemas.openxmlformats.org/officeDocument/2006/relationships/hyperlink" Id="rId60"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79"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1"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86"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2"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76" Target="https://doi.org/10.1038/s41597-023-02569-2" TargetMode="External" /><Relationship Type="http://schemas.openxmlformats.org/officeDocument/2006/relationships/hyperlink" Id="rId78" Target="https://doi.org/10.1073/pnas.2018340118" TargetMode="External" /><Relationship Type="http://schemas.openxmlformats.org/officeDocument/2006/relationships/hyperlink" Id="rId85"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77" Target="https://doi.org/10.1108/JMLC-07-2019-0055" TargetMode="External" /><Relationship Type="http://schemas.openxmlformats.org/officeDocument/2006/relationships/hyperlink" Id="rId75" Target="https://doi.org/10.1109/TKDE.2008.239" TargetMode="External" /><Relationship Type="http://schemas.openxmlformats.org/officeDocument/2006/relationships/hyperlink" Id="rId84" Target="https://doi.org/10.1145/2939672.2939778" TargetMode="External" /><Relationship Type="http://schemas.openxmlformats.org/officeDocument/2006/relationships/hyperlink" Id="rId80" Target="https://doi.org/10.1145/3287560.3287596" TargetMode="External" /><Relationship Type="http://schemas.openxmlformats.org/officeDocument/2006/relationships/hyperlink" Id="rId83"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2"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4"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1" Target="https://doi.org/10.5281/zenodo.23424852" TargetMode="External" /><Relationship Type="http://schemas.openxmlformats.org/officeDocument/2006/relationships/hyperlink" Id="rId60"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2026-10-16T20:04:37Z</dcterms:created>
  <dcterms:modified xsi:type="dcterms:W3CDTF">2026-10-16T20:04:37Z</dcterms:modified>
</cp:coreProperties>
</file>

<file path=docProps/custom.xml><?xml version="1.0" encoding="utf-8"?>
<Properties xmlns="http://schemas.openxmlformats.org/officeDocument/2006/custom-properties" xmlns:vt="http://schemas.openxmlformats.org/officeDocument/2006/docPropsVTypes"/>
</file>