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 2.3% to 85.7%—an 83.3 percentage-point spread (95% confidence interval 71.8 to 93.7 points, cluster bootstrap over eight typology strata)—and the models disagreed on 88.7% of legitimate cases. The differences were systematic: false-positive rates decreased monotonically with model tier within each of the two provider families studied, 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 projected daily alert workload differed by 36- to 196-fold across the four deployable single-call configurations, and by about 35-fold under the preregistered per-case aggregate; the ordering of the models was invariant across prompts, seeds and prevalence. These findings show that foundation-model choice is not merely an AML procurement or implementation decision but a core operational risk parameter. Because commercially accessed models may be updated, substituted, repriced or retired by providers, model-tier substitution and provider-managed alias redirection should be treated as first-class model-risk events, and model identity and operating-point stability should be explicitly incorporated into model-risk governance, validation and ongoing 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any direct measurement of this cross-model divergence at scale under a controlled AML screening design.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[9, 39]. Our contribution is not the phenomenon but its first domain-specific,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w:t>
      </w:r>
    </w:p>
    <w:bookmarkEnd w:id="11"/>
    <w:bookmarkStart w:id="12" w:name="Xc4a3d29f5c03302f64052837ebb8bb0a41f0564"/>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w:t>
      </w:r>
      <w:r>
        <w:t xml:space="preserve"> </w:t>
      </w:r>
      <w:r>
        <w:rPr>
          <w:rStyle w:val="VerbatimChar"/>
        </w:rPr>
        <w:t xml:space="preserve">gemini-pro</w:t>
      </w:r>
      <w:r>
        <w:t xml:space="preserve"> </w:t>
      </w:r>
      <w:r>
        <w:t xml:space="preserve">was dropped for thinking-mode incompatibility and cost, and</w:t>
      </w:r>
      <w:r>
        <w:t xml:space="preserve"> </w:t>
      </w:r>
      <w:r>
        <w:rPr>
          <w:rStyle w:val="VerbatimChar"/>
        </w:rPr>
        <w:t xml:space="preserve">xai-grok</w:t>
      </w:r>
      <w:r>
        <w:t xml:space="preserve"> </w:t>
      </w:r>
      <w:r>
        <w:t xml:space="preserve">was dropped because the xAI account was out of credits before the full run. The final grid of five models from two providers is therefore the result of documented attrition rather than a two-provider design, and the loss of the third family is why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the ordering of the five models never changes.</w:t>
      </w:r>
    </w:p>
    <w:p>
      <w:pPr>
        <w:pStyle w:val="BodyText"/>
      </w:pPr>
      <w: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instead resolves ties by strict majority on both labels reproduces the submitted false-positive rates exactly, which locates the whole effect of the deviation on the miss axis, where miss rates rise from 12.0, 3.3, 3.7, 0.7 and 0.0% to 18.3, 8.3, 7.0, 2.0 and 0.0%.</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typology templates, that assumption is not satisfied exactly. The primary test is therefore accompanied by a cluster-level permutation procedure in which the eight typology strata are resampled as clusters and model labels are permuted within case, and the adjacent-tier contrasts are reported with cluster-robust bootstrap intervals over the same strata. Case-level</w:t>
      </w:r>
      <w:r>
        <w:t xml:space="preserve"> </w:t>
      </w:r>
      <m:oMath>
        <m:r>
          <m:t>P</m:t>
        </m:r>
      </m:oMath>
      <w:r>
        <w:t xml:space="preserve">-values are retained for comparability with the preregistered analysis plan, and the cluster-robust results are the ones relied upon.</w:t>
      </w:r>
    </w:p>
    <w:p>
      <w:pPr>
        <w:pStyle w:val="BodyText"/>
      </w:pPr>
      <w:r>
        <w:t xml:space="preserve">Proportions such as false-positive and miss rates are reported with 95% Wilson score confidence intervals [43]. For quantities whose uncertainty was composition-dependent across typology strata (cross-model spread, disagreement metrics and typology-level rates), additional 95% percentile bootstrap confidence intervals were constructed via cluster resampling over the eight typology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71.8–93.7; cluster bootstrap over the eight typology strata) (Fig. </w:t>
      </w:r>
      <w:hyperlink w:anchor="fig:fp">
        <w:r>
          <w:rPr>
            <w:rStyle w:val="Hyperlink"/>
          </w:rPr>
          <w:t xml:space="preserve">2</w:t>
        </w:r>
      </w:hyperlink>
      <w:r>
        <w:t xml:space="preserve">; Table </w:t>
      </w:r>
      <w:hyperlink w:anchor="tab:ops">
        <w:r>
          <w:rPr>
            <w:rStyle w:val="Hyperlink"/>
          </w:rPr>
          <w:t xml:space="preserve">2</w:t>
        </w:r>
      </w:hyperlink>
      <w:r>
        <w:t xml:space="preserve">). The overall difference among the five models was highly significant when evaluated on the same legitimate cases as paired binary classifications (Cochran’s</w:t>
      </w:r>
      <w:r>
        <w:t xml:space="preserve"> </w:t>
      </w:r>
      <m:oMath>
        <m:r>
          <m:t>Q</m:t>
        </m:r>
        <m:r>
          <m:rPr>
            <m:sty m:val="p"/>
          </m:rPr>
          <m:t>=</m:t>
        </m:r>
        <m:r>
          <m:t>117.0</m:t>
        </m:r>
      </m:oMath>
      <w:r>
        <w:t xml:space="preserve">,</w:t>
      </w:r>
      <w:r>
        <w:t xml:space="preserve"> </w:t>
      </w:r>
      <m:oMath>
        <m:r>
          <m:rPr>
            <m:sty m:val="p"/>
          </m:rPr>
          <m:t>d</m:t>
        </m:r>
        <m:r>
          <m:rPr>
            <m:sty m:val="p"/>
          </m:rPr>
          <m:t>f</m:t>
        </m:r>
        <m:r>
          <m:rPr>
            <m:sty m:val="p"/>
          </m:rPr>
          <m:t>=</m:t>
        </m:r>
        <m:r>
          <m:t>4</m:t>
        </m:r>
      </m:oMath>
      <w:r>
        <w:t xml:space="preserve">,</w:t>
      </w:r>
      <w:r>
        <w:t xml:space="preserve"> </w:t>
      </w:r>
      <m:oMath>
        <m:r>
          <m:t>P</m:t>
        </m:r>
        <m:r>
          <m:rPr>
            <m:sty m:val="p"/>
          </m:rPr>
          <m:t>≈</m:t>
        </m:r>
        <m:r>
          <m:t>2.3</m:t>
        </m:r>
        <m:r>
          <m:rPr>
            <m:sty m:val="p"/>
          </m:rPr>
          <m:t>×</m:t>
        </m:r>
        <m:sSup>
          <m:e>
            <m:r>
              <m:t>10</m:t>
            </m:r>
          </m:e>
          <m:sup>
            <m:r>
              <m:rPr>
                <m:sty m:val="p"/>
              </m:rPr>
              <m:t>−</m:t>
            </m:r>
            <m:r>
              <m:t>24</m:t>
            </m:r>
          </m:sup>
        </m:sSup>
      </m:oMath>
      <w:r>
        <w:t xml:space="preserve">). Because cases generated from a shared typology template are not independent, the same null was also tested by a permutation procedure that resamples the eight typology strata as clusters; no permutation of 2,000 reached the observed statistic (</w:t>
      </w:r>
      <m:oMath>
        <m:r>
          <m:t>P</m:t>
        </m:r>
        <m:r>
          <m:rPr>
            <m:sty m:val="p"/>
          </m:rPr>
          <m:t>&lt;</m:t>
        </m:r>
        <m:r>
          <m:t>0.001</m:t>
        </m:r>
      </m:oMath>
      <w:r>
        <w:t xml:space="preserve">).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3</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12.6–51.2), GPT-4.1-mini to GPT-4o-mini (3 and 149; 48.7 points, CI 25.8–72.5), and Gemini Flash to Gemini Flash-Lite (0 and 125; 41.7 points, CI 19.7–65.2).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3</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4</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1</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much lower false-positive rates;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What the data show is that the ordering of the models persists across both prompt formulations and all four single-call configurations, with the spread between 80.3 and 85.3 percentage points in every one, which is more stability than a simple threshold shift would predict. This is not a demonstration that score-level calibration could not compress the spread;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A provider main effect therefore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typology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33"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rates exactly, which locates the effect of the deviation on the miss axis alone.</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rates exactly, which locates the effect of the deviation on the miss axis alone."/>
      </w:tblPr>
      <w:tblGrid>
        <w:gridCol w:w="1131"/>
        <w:gridCol w:w="1131"/>
        <w:gridCol w:w="1131"/>
        <w:gridCol w:w="1131"/>
        <w:gridCol w:w="1131"/>
        <w:gridCol w:w="1131"/>
        <w:gridCol w:w="1131"/>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r>
      <w:tr>
        <w:tc>
          <w:tcPr/>
          <w:p>
            <w:pPr>
              <w:pStyle w:val="Compact"/>
              <w:jc w:val="left"/>
            </w:pPr>
            <w:r>
              <w:t xml:space="preserve">Ties to flag (preregistered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r>
      <w:tr>
        <w:tc>
          <w:tcPr/>
          <w:p>
            <w:pPr>
              <w:pStyle w:val="Compact"/>
              <w:jc w:val="left"/>
            </w:pPr>
            <w:r>
              <w:t xml:space="preserve">Ties as abstentions (dropped)</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r>
      <w:tr>
        <w:tc>
          <w:tcPr/>
          <w:p>
            <w:pPr>
              <w:pStyle w:val="Compact"/>
              <w:jc w:val="left"/>
            </w:pPr>
            <w:r>
              <w:t xml:space="preserve">Unanimity required to flag</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r>
      <w:tr>
        <w:tc>
          <w:tcPr/>
          <w:p>
            <w:pPr>
              <w:pStyle w:val="Compact"/>
              <w:jc w:val="left"/>
            </w:pPr>
            <w:r>
              <w:t xml:space="preserve">Label-dependent (as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r>
      <w:tr>
        <w:tc>
          <w:tcPr/>
          <w:p>
            <w:pPr>
              <w:pStyle w:val="Compact"/>
              <w:jc w:val="left"/>
            </w:pPr>
            <w:r>
              <w:t xml:space="preserve">Single call: FATF prompt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r>
      <w:tr>
        <w:tc>
          <w:tcPr/>
          <w:p>
            <w:pPr>
              <w:pStyle w:val="Compact"/>
              <w:jc w:val="left"/>
            </w:pPr>
            <w:r>
              <w:t xml:space="preserve">Single call: FATF prompt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r>
      <w:tr>
        <w:tc>
          <w:tcPr/>
          <w:p>
            <w:pPr>
              <w:pStyle w:val="Compact"/>
              <w:jc w:val="left"/>
            </w:pPr>
            <w:r>
              <w:t xml:space="preserve">Single call: terse prompt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r>
      <w:tr>
        <w:tc>
          <w:tcPr/>
          <w:p>
            <w:pPr>
              <w:pStyle w:val="Compact"/>
              <w:jc w:val="left"/>
            </w:pPr>
            <w:r>
              <w:t xml:space="preserve">Single call: terse prompt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Start w:id="32" w:name="fig:sweep"/>
    <w:p>
      <w:pPr>
        <w:pStyle w:val="CaptionedFigure"/>
      </w:pPr>
      <w:r>
        <w:drawing>
          <wp:inline>
            <wp:extent cx="5067300" cy="2737586"/>
            <wp:effectExtent b="0" l="0" r="0" t="0"/>
            <wp:docPr descr="" title="" id="30" name="Picture"/>
            <a:graphic>
              <a:graphicData uri="http://schemas.openxmlformats.org/drawingml/2006/picture">
                <pic:pic>
                  <pic:nvPicPr>
                    <pic:cNvPr descr="fig6_prevalence_sweep.png" id="31" name="Picture"/>
                    <pic:cNvPicPr>
                      <a:picLocks noChangeArrowheads="1" noChangeAspect="1"/>
                    </pic:cNvPicPr>
                  </pic:nvPicPr>
                  <pic:blipFill>
                    <a:blip r:embed="rId29"/>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32"/>
    <w:bookmarkEnd w:id="33"/>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Even under D4 the four-call aggregate remains an evaluation construct rather than a deployable screening configuration, because a deployed screener issues one call per transaction; the deployable single-call configurations are reported in Table </w:t>
      </w:r>
      <w:hyperlink w:anchor="tab:agg">
        <w:r>
          <w:rPr>
            <w:rStyle w:val="Hyperlink"/>
          </w:rPr>
          <w:t xml:space="preserve">1</w:t>
        </w:r>
      </w:hyperlink>
      <w:r>
        <w:t xml:space="preserve">.</w:t>
      </w:r>
    </w:p>
    <w:bookmarkStart w:id="37" w:name="fig:fp"/>
    <w:p>
      <w:pPr>
        <w:pStyle w:val="CaptionedFigure"/>
      </w:pPr>
      <w:r>
        <w:drawing>
          <wp:inline>
            <wp:extent cx="3840480" cy="2416403"/>
            <wp:effectExtent b="0" l="0" r="0" t="0"/>
            <wp:docPr descr="" title="" id="35" name="Picture"/>
            <a:graphic>
              <a:graphicData uri="http://schemas.openxmlformats.org/drawingml/2006/picture">
                <pic:pic>
                  <pic:nvPicPr>
                    <pic:cNvPr descr="fig1_fp_by_model.png" id="36" name="Picture"/>
                    <pic:cNvPicPr>
                      <a:picLocks noChangeArrowheads="1" noChangeAspect="1"/>
                    </pic:cNvPicPr>
                  </pic:nvPicPr>
                  <pic:blipFill>
                    <a:blip r:embed="rId34"/>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117.0</m:t>
        </m:r>
      </m:oMath>
      <w:r>
        <w:t xml:space="preserve">, degrees of freedom</w:t>
      </w:r>
      <w:r>
        <w:t xml:space="preserve"> </w:t>
      </w:r>
      <m:oMath>
        <m:r>
          <m:rPr>
            <m:sty m:val="p"/>
          </m:rPr>
          <m:t>=</m:t>
        </m:r>
        <m:r>
          <m:t>4</m:t>
        </m:r>
      </m:oMath>
      <w:r>
        <w:t xml:space="preserve">,</w:t>
      </w:r>
      <w:r>
        <w:t xml:space="preserve"> </w:t>
      </w:r>
      <m:oMath>
        <m:r>
          <m:t>P</m:t>
        </m:r>
        <m:r>
          <m:rPr>
            <m:sty m:val="p"/>
          </m:rPr>
          <m:t>≈</m:t>
        </m:r>
        <m:r>
          <m:t>2.3</m:t>
        </m:r>
        <m:r>
          <m:rPr>
            <m:sty m:val="p"/>
          </m:rPr>
          <m:t>×</m:t>
        </m:r>
        <m:sSup>
          <m:e>
            <m:r>
              <m:t>10</m:t>
            </m:r>
          </m:e>
          <m:sup>
            <m:r>
              <m:rPr>
                <m:sty m:val="p"/>
              </m:rPr>
              <m:t>−</m:t>
            </m:r>
            <m:r>
              <m:t>24</m:t>
            </m:r>
          </m:sup>
        </m:sSup>
      </m:oMath>
      <w:r>
        <w:t xml:space="preserve">)</w:t>
      </w:r>
    </w:p>
    <w:bookmarkEnd w:id="37"/>
    <w:bookmarkStart w:id="41" w:name="fig:ops"/>
    <w:p>
      <w:pPr>
        <w:pStyle w:val="CaptionedFigure"/>
      </w:pPr>
      <w:r>
        <w:drawing>
          <wp:inline>
            <wp:extent cx="3307080" cy="2613081"/>
            <wp:effectExtent b="0" l="0" r="0" t="0"/>
            <wp:docPr descr="" title="" id="39" name="Picture"/>
            <a:graphic>
              <a:graphicData uri="http://schemas.openxmlformats.org/drawingml/2006/picture">
                <pic:pic>
                  <pic:nvPicPr>
                    <pic:cNvPr descr="fig2_operating_points.png" id="40" name="Picture"/>
                    <pic:cNvPicPr>
                      <a:picLocks noChangeArrowheads="1" noChangeAspect="1"/>
                    </pic:cNvPicPr>
                  </pic:nvPicPr>
                  <pic:blipFill>
                    <a:blip r:embed="rId38"/>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41"/>
    <w:bookmarkStart w:id="45" w:name="fig:vol"/>
    <w:p>
      <w:pPr>
        <w:pStyle w:val="CaptionedFigure"/>
      </w:pPr>
      <w:r>
        <w:drawing>
          <wp:inline>
            <wp:extent cx="3840480" cy="2425198"/>
            <wp:effectExtent b="0" l="0" r="0" t="0"/>
            <wp:docPr descr="" title="" id="43" name="Picture"/>
            <a:graphic>
              <a:graphicData uri="http://schemas.openxmlformats.org/drawingml/2006/picture">
                <pic:pic>
                  <pic:nvPicPr>
                    <pic:cNvPr descr="fig3_alert_volume.png" id="44" name="Picture"/>
                    <pic:cNvPicPr>
                      <a:picLocks noChangeArrowheads="1" noChangeAspect="1"/>
                    </pic:cNvPicPr>
                  </pic:nvPicPr>
                  <pic:blipFill>
                    <a:blip r:embed="rId42"/>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error bars are 95% Wilson score confidence intervals.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3</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giving 12</w:t>
            </w:r>
            <w:r>
              <w:t xml:space="preserve">,</w:t>
            </w:r>
            <w:r>
              <w:t xml:space="preserve">120 realized calls against 12</w:t>
            </w:r>
            <w:r>
              <w:t xml:space="preserve">,</w:t>
            </w:r>
            <w:r>
              <w:t xml:space="preserve">000 by design</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0"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12,000-call response corpus (</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 identifier,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0"/>
    <w:bookmarkStart w:id="8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1">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2">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3">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4">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5">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6">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7">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8">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9">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0">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1">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2">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3">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4">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5">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6">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7">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8">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9">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0">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1">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2">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4">
        <w:r>
          <w:rPr>
            <w:rStyle w:val="Hyperlink"/>
          </w:rPr>
          <w:t xml:space="preserve">https://doi.org/10.1007/s44163-026-01283-3</w:t>
        </w:r>
      </w:hyperlink>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2026-10-16T01:14:50Z</dcterms:created>
  <dcterms:modified xsi:type="dcterms:W3CDTF">2026-10-16T01:14:50Z</dcterms:modified>
</cp:coreProperties>
</file>

<file path=docProps/custom.xml><?xml version="1.0" encoding="utf-8"?>
<Properties xmlns="http://schemas.openxmlformats.org/officeDocument/2006/custom-properties" xmlns:vt="http://schemas.openxmlformats.org/officeDocument/2006/docPropsVTypes"/>
</file>