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Override PartName="/word/media/rId39.png" ContentType="image/png"/>
  <Override PartName="/word/media/rId43.png" ContentType="image/png"/>
  <Override PartName="/word/media/rId47.png" ContentType="image/png"/>
  <Override PartName="/word/media/rId51.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implications of choosing one foundation model over another are poorly quantified. This study investigates how foundation-model selection affects the screening operating point for a fixed task, transaction cases and evaluation procedure. We tested five off-the-shelf foundation models from two providers as zero-shot AML screeners, using a preregistered, fully reproducible battery of 600 synthetic transaction cases anchored on established laundering typologies, with equal numbers of suspicious cases and legitimate hard negatives designed to resemble common alert patterns. For the same 300 legitimate cases, false-positive rates ranged from 2.3% to 85.7%—an 83.3 percentage-point spread (95% confidence interval 71.8 to 93.7 points, cluster bootstrap over eight typology strata)—and the models disagreed on 88.7% of legitimate cases. The differences were systematic: false-positive rates decreased monotonically with model tier within each of the two provider families studied, so that smaller, lower-tier models substantially over-flagged legitimate activity relative to their more capable counterparts. The models therefore occupied quite different points along the sensitivity–specificity trade-off, not merely different levels of accuracy. In an illustrative low-prevalence scenario of one million transactions per day, projected daily alert workload differed by 36- to 196-fold across the four deployable single-call configurations, and by about 35-fold under the preregistered per-case aggregate; the ordering of the models was invariant across prompts, seeds and prevalence. These findings show that foundation-model choice is not merely an AML procurement or implementation decision but a core operational risk parameter. Because commercially accessed models may be updated, substituted, repriced or retired by providers, model-tier substitution and provider-managed alias redirection should be treated as first-class model-risk events, and model identity and operating-point stability should be explicitly incorporated into model-risk governance, validation and ongoing monitoring through a standing operating-point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marked-copy-revision-1"/>
    <w:p>
      <w:pPr>
        <w:pStyle w:val="Heading1"/>
      </w:pPr>
      <w:r>
        <w:t xml:space="preserve">Marked copy, revision 1</w:t>
      </w:r>
    </w:p>
    <w:p>
      <w:pPr>
        <w:pStyle w:val="FirstParagraph"/>
      </w:pPr>
      <w:r>
        <w:t xml:space="preserve">Text added since the original submission is highlighted. Text removed since the original submission is shown struck through at the point where it stood. Table bodies are reproduced in final form without internal marks. A table or figure that is new or revised is labelled in its caption.</w:t>
      </w:r>
    </w:p>
    <w:bookmarkEnd w:id="10"/>
    <w:bookmarkStart w:id="11"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w:t>
      </w:r>
      <w:r>
        <w:t xml:space="preserve"> </w:t>
      </w:r>
      <w:r>
        <w:rPr>
          <w:strike/>
        </w:rPr>
        <w:t xml:space="preserve">models—trained</w:t>
      </w:r>
      <w:r>
        <w:t xml:space="preserve"> </w:t>
      </w:r>
      <w:r>
        <w:rPr>
          <w:highlight w:val="yellow"/>
        </w:rPr>
        <w:t xml:space="preserve">models</w:t>
      </w:r>
      <w:r>
        <w:t xml:space="preserve"> </w:t>
      </w:r>
      <w:r>
        <w:t xml:space="preserve">[8, 9]</w:t>
      </w:r>
      <w:r>
        <w:rPr>
          <w:highlight w:val="yellow"/>
        </w:rPr>
        <w:t xml:space="preserve">—trained</w:t>
      </w:r>
      <w:r>
        <w:t xml:space="preserve"> </w:t>
      </w:r>
      <w:r>
        <w:t xml:space="preserve">on broad data and adapted to many tasks through natural-language</w:t>
      </w:r>
      <w:r>
        <w:t xml:space="preserve"> </w:t>
      </w:r>
      <w:r>
        <w:rPr>
          <w:highlight w:val="yellow"/>
        </w:rPr>
        <w:t xml:space="preserve">instructions—have</w:t>
      </w:r>
      <w:r>
        <w:t xml:space="preserve"> </w:t>
      </w:r>
      <w:r>
        <w:t xml:space="preserve">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any direct measurement of this cross-model divergence at scale under a controlled AML screening design.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strike/>
        </w:rPr>
        <w:t xml:space="preserve">Controlled measurement of foundation-model selection risk.</w:t>
      </w:r>
      <w:r>
        <w:rPr>
          <w:strike/>
        </w:rPr>
        <w:t xml:space="preserve"> </w:t>
      </w:r>
      <w:r>
        <w:rPr>
          <w:strike/>
        </w:rPr>
        <w:t xml:space="preserve">To the best of our knowledge, this is the first study to control foundation-model identity as the experimental variable in AML transaction screening while fixing the task and transaction cases.</w:t>
      </w:r>
      <w:r>
        <w:t xml:space="preserve"> </w:t>
      </w:r>
      <w:r>
        <w:rPr>
          <w:i/>
          <w:iCs/>
        </w:rPr>
        <w:t xml:space="preserve">A foundation-model-swap interpretation of model governance.</w:t>
      </w:r>
      <w:r>
        <w:t xml:space="preserve"> </w:t>
      </w:r>
      <w:r>
        <w:rPr>
          <w:highlight w:val="yellow"/>
        </w:rPr>
        <w:t xml:space="preserve">We treat model-tier substitution and provider-managed</w:t>
      </w:r>
      <w:r>
        <w:t xml:space="preserve"> </w:t>
      </w:r>
      <w:r>
        <w:rPr>
          <w:rStyle w:val="VerbatimChar"/>
        </w:rPr>
        <w:t xml:space="preserve">-latest</w:t>
      </w:r>
      <w:r>
        <w:t xml:space="preserve"> </w:t>
      </w:r>
      <w:r>
        <w:rPr>
          <w:highlight w:val="yellow"/>
        </w:rPr>
        <w:t xml:space="preserve">alias redirection as first-class model-risk events, and propose a standing operating-point probe as a monitoring control, so that the specific model version and its operating point become part of model inventories, validation procedures and ongoing monitoring</w:t>
      </w:r>
      <w:r>
        <w:t xml:space="preserve"> </w:t>
      </w:r>
      <w:r>
        <w:t xml:space="preserve">(Section </w:t>
      </w:r>
      <w:hyperlink w:anchor="sec:probe">
        <w:r>
          <w:rPr>
            <w:rStyle w:val="Hyperlink"/>
          </w:rPr>
          <w:t xml:space="preserve">4.1</w:t>
        </w:r>
      </w:hyperlink>
      <w:r>
        <w:rPr>
          <w:highlight w:val="yellow"/>
        </w:rPr>
        <w:t xml:space="preserve">).</w:t>
      </w:r>
    </w:p>
    <w:p>
      <w:pPr>
        <w:numPr>
          <w:ilvl w:val="0"/>
          <w:numId w:val="1001"/>
        </w:numPr>
      </w:pPr>
      <w:r>
        <w:rPr>
          <w:i/>
          <w:iCs/>
        </w:rPr>
        <w:t xml:space="preserve">Domain-specific controlled measurement.</w:t>
      </w:r>
      <w:r>
        <w:t xml:space="preserve"> </w:t>
      </w:r>
      <w:r>
        <w:rPr>
          <w:highlight w:val="yellow"/>
        </w:rPr>
        <w:t xml:space="preserve">That different language models disagree on identical inputs, and that model-induced variance can exceed prompt-induced variance, is established in the broader model-evaluation literature</w:t>
      </w:r>
      <w:r>
        <w:t xml:space="preserve"> </w:t>
      </w:r>
      <w:r>
        <w:t xml:space="preserve">[9, 39]</w:t>
      </w:r>
      <w:r>
        <w:rPr>
          <w:highlight w:val="yellow"/>
        </w:rPr>
        <w:t xml:space="preserve">. Our contribution is not the phenomenon but its first domain-specific,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w:t>
      </w:r>
      <w:r>
        <w:t xml:space="preserve"> </w:t>
      </w:r>
      <w:r>
        <w:rPr>
          <w:highlight w:val="yellow"/>
        </w:rPr>
        <w:t xml:space="preserve">cluster-robust</w:t>
      </w:r>
      <w:r>
        <w:t xml:space="preserve"> </w:t>
      </w:r>
      <w:r>
        <w:t xml:space="preserve">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1"/>
    <w:bookmarkStart w:id="19" w:name="sec:methods"/>
    <w:p>
      <w:pPr>
        <w:pStyle w:val="Heading1"/>
      </w:pPr>
      <w:r>
        <w:rPr>
          <w:rStyle w:val="SectionNumber"/>
        </w:rPr>
        <w:t xml:space="preserve">2</w:t>
      </w:r>
      <w:r>
        <w:tab/>
      </w:r>
      <w:r>
        <w:t xml:space="preserve">Methods</w:t>
      </w:r>
    </w:p>
    <w:bookmarkStart w:id="12"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rPr>
          <w:highlight w:val="yellow"/>
        </w:rP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w:t>
      </w:r>
      <w:r>
        <w:t xml:space="preserve"> </w:t>
      </w:r>
      <w:r>
        <w:t xml:space="preserve">Section </w:t>
      </w:r>
      <w:hyperlink w:anchor="sec:limits">
        <w:r>
          <w:rPr>
            <w:rStyle w:val="Hyperlink"/>
          </w:rPr>
          <w:t xml:space="preserve">4.2</w:t>
        </w:r>
      </w:hyperlink>
      <w:r>
        <w:rPr>
          <w:highlight w:val="yellow"/>
        </w:rPr>
        <w:t xml:space="preserve">.</w:t>
      </w:r>
    </w:p>
    <w:bookmarkEnd w:id="12"/>
    <w:bookmarkStart w:id="13" w:name="Xc4a3d29f5c03302f64052837ebb8bb0a41f0564"/>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w:t>
      </w:r>
      <w:r>
        <w:t xml:space="preserve"> </w:t>
      </w:r>
      <w:r>
        <w:rPr>
          <w:strike/>
        </w:rPr>
        <w:t xml:space="preserve">The exact model</w:t>
      </w:r>
      <w:r>
        <w:t xml:space="preserve"> </w:t>
      </w:r>
      <w:r>
        <w:rPr>
          <w:highlight w:val="yellow"/>
        </w:rPr>
        <w:t xml:space="preserve">Only the alias strings were captured: the concrete model version</w:t>
      </w:r>
      <w:r>
        <w:t xml:space="preserve"> </w:t>
      </w:r>
      <w:r>
        <w:t xml:space="preserve">served behind each Google alias at the collection date (July 2026)</w:t>
      </w:r>
      <w:r>
        <w:t xml:space="preserve"> </w:t>
      </w:r>
      <w:r>
        <w:rPr>
          <w:strike/>
        </w:rPr>
        <w:t xml:space="preserve">is</w:t>
      </w:r>
      <w:r>
        <w:t xml:space="preserve"> </w:t>
      </w:r>
      <w:r>
        <w:rPr>
          <w:highlight w:val="yellow"/>
        </w:rPr>
        <w:t xml:space="preserve">was not</w:t>
      </w:r>
      <w:r>
        <w:t xml:space="preserve"> </w:t>
      </w:r>
      <w:r>
        <w:t xml:space="preserve">recorded in the archived per-call</w:t>
      </w:r>
      <w:r>
        <w:t xml:space="preserve"> </w:t>
      </w:r>
      <w:r>
        <w:rPr>
          <w:strike/>
        </w:rPr>
        <w:t xml:space="preserve">response metadata (see Data availability), rather than inferred from the alias.</w:t>
      </w:r>
      <w:r>
        <w:t xml:space="preserve"> </w:t>
      </w:r>
      <w:r>
        <w:rPr>
          <w:highlight w:val="yellow"/>
        </w:rPr>
        <w:t xml:space="preserve">metadata and cannot now be recovered. This is itself an instance of the governance problem examined here, and it is stated again among the limitations.</w:t>
      </w:r>
      <w:r>
        <w:t xml:space="preserve"> </w:t>
      </w:r>
      <w:r>
        <w:t xml:space="preserve">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w:t>
      </w:r>
      <w:r>
        <w:t xml:space="preserve"> </w:t>
      </w:r>
      <w:r>
        <w:rPr>
          <w:strike/>
        </w:rPr>
        <w:t xml:space="preserve">effect—a</w:t>
      </w:r>
      <w:r>
        <w:t xml:space="preserve"> </w:t>
      </w:r>
      <w:r>
        <w:rPr>
          <w:highlight w:val="yellow"/>
        </w:rPr>
        <w:t xml:space="preserve">effect</w:t>
      </w:r>
      <w:r>
        <w:t xml:space="preserve"> </w:t>
      </w:r>
      <w:r>
        <w:t xml:space="preserve">[39]</w:t>
      </w:r>
      <w:r>
        <w:rPr>
          <w:highlight w:val="yellow"/>
        </w:rPr>
        <w:t xml:space="preserve">—a</w:t>
      </w:r>
      <w:r>
        <w:t xml:space="preserve"> </w:t>
      </w:r>
      <w:r>
        <w:t xml:space="preserve">known source of variation in LLM</w:t>
      </w:r>
      <w:r>
        <w:t xml:space="preserve"> </w:t>
      </w:r>
      <w:r>
        <w:rPr>
          <w:highlight w:val="yellow"/>
        </w:rPr>
        <w:t xml:space="preserve">behaviour—each</w:t>
      </w:r>
      <w:r>
        <w:t xml:space="preserve"> </w:t>
      </w:r>
      <w:r>
        <w:t xml:space="preserve">case was tested with two versions of the supervisory prompt: a short instruction for a compliance officer, and a more elaborate instruction aware of the FATF typologies. Each prompt setting was run twice with different random seeds. The complete design therefore comprised</w:t>
      </w:r>
      <w:r>
        <w:t xml:space="preserve"> </w:t>
      </w:r>
      <m:oMath>
        <m:r>
          <m:t>5</m:t>
        </m:r>
        <m:r>
          <m:rPr>
            <m:nor/>
            <m:sty m:val="p"/>
          </m:rPr>
          <m:t> models</m:t>
        </m:r>
        <m:r>
          <m:rPr>
            <m:sty m:val="p"/>
          </m:rPr>
          <m:t>×</m:t>
        </m:r>
        <m:r>
          <m:t>2</m:t>
        </m:r>
        <m:r>
          <m:rPr>
            <m:nor/>
            <m:sty m:val="p"/>
          </m:rPr>
          <m:t> prompt formulations</m:t>
        </m:r>
        <m:r>
          <m:rPr>
            <m:sty m:val="p"/>
          </m:rPr>
          <m:t>×</m:t>
        </m:r>
        <m:r>
          <m:t>2</m:t>
        </m:r>
        <m:r>
          <m:rPr>
            <m:nor/>
            <m:sty m:val="p"/>
          </m:rPr>
          <m:t> seeds</m:t>
        </m:r>
        <m:r>
          <m:rPr>
            <m:sty m:val="p"/>
          </m:rPr>
          <m:t>×</m:t>
        </m:r>
        <m:r>
          <m:t>600</m:t>
        </m:r>
        <m:r>
          <m:rPr>
            <m:nor/>
            <m:sty m:val="p"/>
          </m:rPr>
          <m:t> cases</m:t>
        </m:r>
        <m:r>
          <m:rPr>
            <m:sty m:val="p"/>
          </m:rPr>
          <m:t>=</m:t>
        </m:r>
        <m:r>
          <m:t>12</m:t>
        </m:r>
        <m:r>
          <m:rPr>
            <m:sty m:val="p"/>
          </m:rPr>
          <m:t>,</m:t>
        </m:r>
        <m:r>
          <m:t>000</m:t>
        </m:r>
      </m:oMath>
      <w:r>
        <w:rPr>
          <w:strike/>
        </w:rPr>
        <w:t xml:space="preserve"> </w:t>
      </w:r>
      <w:r>
        <w:rPr>
          <w:strike/>
        </w:rPr>
        <w:t xml:space="preserve">screening calls.</w:t>
      </w:r>
      <w:r>
        <w:t xml:space="preserve"> </w:t>
      </w:r>
      <w:r>
        <w:rPr>
          <w:highlight w:val="yellow"/>
        </w:rPr>
        <w:t xml:space="preserve">five models, two prompt formulations, two seeds and 600 cases, giving</w:t>
      </w:r>
      <w:r>
        <w:t xml:space="preserve"> </w:t>
      </w:r>
      <w:r>
        <w:t xml:space="preserve">12</w:t>
      </w:r>
      <w:r>
        <w:t xml:space="preserve">,</w:t>
      </w:r>
      <w:r>
        <w:t xml:space="preserve">000</w:t>
      </w:r>
      <w:r>
        <w:t xml:space="preserve"> </w:t>
      </w:r>
      <w:r>
        <w:rPr>
          <w:highlight w:val="yellow"/>
        </w:rPr>
        <w:t xml:space="preserve">screening calls by design. The frozen corpus holds</w:t>
      </w:r>
      <w:r>
        <w:t xml:space="preserve"> </w:t>
      </w:r>
      <w:r>
        <w:t xml:space="preserve">12</w:t>
      </w:r>
      <w:r>
        <w:t xml:space="preserve">,</w:t>
      </w:r>
      <w:r>
        <w:t xml:space="preserve">120</w:t>
      </w:r>
      <w:r>
        <w:t xml:space="preserve"> </w:t>
      </w:r>
      <w:r>
        <w:rPr>
          <w:highlight w:val="yellow"/>
        </w:rPr>
        <w:t xml:space="preserve">calls: 111 GPT-4o-mini cases carry a fifth retried call and one GPT-4.1-mini case carries three valid calls after an application-programming-interface error.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rPr>
          <w:highlight w:val="yellow"/>
        </w:rPr>
        <w:t xml:space="preserve">The evaluated set is the surviving part of a larger preregistered grid. The confirmatory design specified a third provider family, xAI Grok-4.5, alongside the OpenAI and Google models. Two logged decisions reduced it:</w:t>
      </w:r>
      <w:r>
        <w:t xml:space="preserve"> </w:t>
      </w:r>
      <w:r>
        <w:rPr>
          <w:rStyle w:val="VerbatimChar"/>
        </w:rPr>
        <w:t xml:space="preserve">gemini-pro</w:t>
      </w:r>
      <w:r>
        <w:t xml:space="preserve"> </w:t>
      </w:r>
      <w:r>
        <w:rPr>
          <w:highlight w:val="yellow"/>
        </w:rPr>
        <w:t xml:space="preserve">was dropped for thinking-mode incompatibility and cost, and</w:t>
      </w:r>
      <w:r>
        <w:t xml:space="preserve"> </w:t>
      </w:r>
      <w:r>
        <w:rPr>
          <w:rStyle w:val="VerbatimChar"/>
        </w:rPr>
        <w:t xml:space="preserve">xai-grok</w:t>
      </w:r>
      <w:r>
        <w:t xml:space="preserve"> </w:t>
      </w:r>
      <w:r>
        <w:rPr>
          <w:highlight w:val="yellow"/>
        </w:rPr>
        <w:t xml:space="preserve">was dropped because the xAI account was out of credits before the full run. The final grid of five models from two providers is therefore the result of documented attrition rather than a two-provider design, and the loss of the third family is why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3"/>
    <w:bookmarkStart w:id="14" w:name="sec:agg"/>
    <w:p>
      <w:pPr>
        <w:pStyle w:val="Heading2"/>
      </w:pPr>
      <w:r>
        <w:rPr>
          <w:rStyle w:val="SectionNumber"/>
        </w:rPr>
        <w:t xml:space="preserve">2.3</w:t>
      </w:r>
      <w:r>
        <w:tab/>
      </w:r>
      <w:r>
        <w:rPr>
          <w:highlight w:val="yellow"/>
        </w:rPr>
        <w:t xml:space="preserve">Per-case aggregation rule and a deviation from it</w:t>
      </w:r>
    </w:p>
    <w:p>
      <w:pPr>
        <w:pStyle w:val="FirstParagraph"/>
      </w:pPr>
      <w:r>
        <w:rPr>
          <w:highlight w:val="yellow"/>
        </w:rPr>
        <w:t xml:space="preserve">Each (model, case) pair carries four valid calls by design, two prompt formulations crossed with two seeds. Preregistered</w:t>
      </w:r>
      <w:r>
        <w:t xml:space="preserve"> </w:t>
      </w:r>
      <w:r>
        <w:t xml:space="preserve">decision D4</w:t>
      </w:r>
      <w:r>
        <w:t xml:space="preserve"> </w:t>
      </w:r>
      <w:r>
        <w:rPr>
          <w:highlight w:val="yellow"/>
        </w:rPr>
        <w:t xml:space="preserve">reduces them to one decision per case by the modal replicate decision, with ties broken toward</w:t>
      </w:r>
      <w:r>
        <w:t xml:space="preserve"> </w:t>
      </w:r>
      <w:r>
        <w:rPr>
          <w:rStyle w:val="VerbatimChar"/>
        </w:rPr>
        <w:t xml:space="preserve">flag</w:t>
      </w:r>
      <w:r>
        <w:rPr>
          <w:highlight w:val="yellow"/>
        </w:rP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rPr>
          <w:highlight w:val="yellow"/>
        </w:rP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rPr>
          <w:highlight w:val="yellow"/>
        </w:rPr>
        <w:t xml:space="preserve">keeps the</w:t>
      </w:r>
      <w:r>
        <w:t xml:space="preserve"> </w:t>
      </w:r>
      <w:r>
        <w:rPr>
          <w:i/>
          <w:iCs/>
        </w:rPr>
        <w:t xml:space="preserve">miss</w:t>
      </w:r>
      <w:r>
        <w:t xml:space="preserve"> </w:t>
      </w:r>
      <w:r>
        <w:rPr>
          <w:highlight w:val="yellow"/>
        </w:rPr>
        <w:t xml:space="preserve">estimate conservative, which held while the endpoint was misses; once the endpoint became false positives, conservatism appears to have been reapplied separately to each endpoint.</w:t>
      </w:r>
    </w:p>
    <w:p>
      <w:pPr>
        <w:pStyle w:val="BodyText"/>
      </w:pPr>
      <w:r>
        <w:rPr>
          <w:highlight w:val="yellow"/>
        </w:rPr>
        <w:t xml:space="preserve">Restoring D4 raises every false-positive rate—from 0.3, 1.0, 23.7, 24.7 and 83.0</w:t>
      </w:r>
      <w:r>
        <w:t xml:space="preserve">%</w:t>
      </w:r>
      <w:r>
        <w:t xml:space="preserve"> </w:t>
      </w:r>
      <w:r>
        <w:rPr>
          <w:highlight w:val="yellow"/>
        </w:rPr>
        <w:t xml:space="preserve">to 2.3, 7.7, 37.0, 44.0 and 85.7</w:t>
      </w:r>
      <w:r>
        <w:t xml:space="preserve">%</w:t>
      </w:r>
      <w:r>
        <w:rPr>
          <w:highlight w:val="yellow"/>
        </w:rPr>
        <w:t xml:space="preserve">—and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rPr>
          <w:highlight w:val="yellow"/>
        </w:rPr>
        <w:t xml:space="preserve">Because the choice of rule is consequential, the results are reported under four further label-independent policies and under each deployable single-call configuration</w:t>
      </w:r>
      <w:r>
        <w:t xml:space="preserve"> </w:t>
      </w:r>
      <w:r>
        <w:t xml:space="preserve">(Table </w:t>
      </w:r>
      <w:hyperlink w:anchor="tab:agg">
        <w:r>
          <w:rPr>
            <w:rStyle w:val="Hyperlink"/>
          </w:rPr>
          <w:t xml:space="preserve">1</w:t>
        </w:r>
      </w:hyperlink>
      <w:r>
        <w:rPr>
          <w:highlight w:val="yellow"/>
        </w:rPr>
        <w:t xml:space="preserve">). Across all nine analyses the spread lies between 77.7 and 85.3 percentage points and the ordering of the five models never changes.</w:t>
      </w:r>
    </w:p>
    <w:p>
      <w:pPr>
        <w:pStyle w:val="BodyText"/>
      </w:pPr>
      <w:r>
        <w:rPr>
          <w:highlight w:val="yellow"/>
        </w:rPr>
        <w:t xml:space="preserve">Two further points follow. First, the four-call aggregate is an evaluation construct, not a deployable configuration: no institution would issue four calls per transaction and take a majority. The deployable quantity is a single call, and those configurations are reported alongside the aggregate. Second, a label-independent rule that instead resolves ties by strict majority on both labels reproduces the submitted false-positive rates exactly, which locates the whole effect of the deviation on the miss axis, where miss rates rise from 12.0, 3.3, 3.7, 0.7 and 0.0</w:t>
      </w:r>
      <w:r>
        <w:t xml:space="preserve">%</w:t>
      </w:r>
      <w:r>
        <w:t xml:space="preserve"> </w:t>
      </w:r>
      <w:r>
        <w:rPr>
          <w:highlight w:val="yellow"/>
        </w:rPr>
        <w:t xml:space="preserve">to 18.3, 8.3, 7.0, 2.0 and 0.0</w:t>
      </w:r>
      <w:r>
        <w:t xml:space="preserve">%</w:t>
      </w:r>
      <w:r>
        <w:rPr>
          <w:highlight w:val="yellow"/>
        </w:rPr>
        <w:t xml:space="preserve">.</w:t>
      </w:r>
    </w:p>
    <w:bookmarkEnd w:id="14"/>
    <w:bookmarkStart w:id="15"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rPr>
          <w:highlight w:val="yellow"/>
        </w:rPr>
        <w:t xml:space="preserve">Cochran’s</w:t>
      </w:r>
      <w:r>
        <w:t xml:space="preserve"> </w:t>
      </w:r>
      <m:oMath>
        <m:r>
          <m:t>Q</m:t>
        </m:r>
      </m:oMath>
      <w:r>
        <w:t xml:space="preserve"> </w:t>
      </w:r>
      <w:r>
        <w:rPr>
          <w:highlight w:val="yellow"/>
        </w:rPr>
        <w:t xml:space="preserve">and the exact McNemar test both treat the 300 legitimate cases as exchangeable units. Because the cases are generated from a shared set of typology templates, that assumption is not satisfied exactly. The primary test is therefore accompanied by a cluster-level permutation procedure in which the eight typology strata are resampled as clusters and model labels are permuted within case, and the adjacent-tier contrasts are reported with cluster-robust bootstrap intervals over the same strata. Case-level</w:t>
      </w:r>
      <w:r>
        <w:t xml:space="preserve"> </w:t>
      </w:r>
      <m:oMath>
        <m:r>
          <m:t>P</m:t>
        </m:r>
      </m:oMath>
      <w:r>
        <w:rPr>
          <w:highlight w:val="yellow"/>
        </w:rPr>
        <w:t xml:space="preserve">-values are retained for comparability with the preregistered analysis plan, and the cluster-robust results are the ones relied upon.</w:t>
      </w:r>
    </w:p>
    <w:p>
      <w:pPr>
        <w:pStyle w:val="BodyText"/>
      </w:pPr>
      <w:r>
        <w:t xml:space="preserve">Proportions such as false-positive and miss rates are reported with 95% Wilson score confidence intervals [43]. For quantities whose uncertainty was composition-dependent across typology strata (cross-model spread, disagreement metrics and typology-level rates), additional 95% percentile bootstrap confidence intervals were constructed via cluster resampling over the eight typology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w:t>
      </w:r>
      <w:r>
        <w:t xml:space="preserve"> </w:t>
      </w:r>
      <w:r>
        <w:rPr>
          <w:strike/>
        </w:rPr>
        <w:t xml:space="preserve">statistics—Cohen’s</w:t>
      </w:r>
      <w:r>
        <w:t xml:space="preserve"> </w:t>
      </w:r>
      <w:r>
        <w:rPr>
          <w:highlight w:val="yellow"/>
        </w:rPr>
        <w:t xml:space="preserve">statistics</w:t>
      </w:r>
      <w:r>
        <w:t xml:space="preserve"> </w:t>
      </w:r>
      <w:r>
        <w:t xml:space="preserve">[21]</w:t>
      </w:r>
      <w:r>
        <w:rPr>
          <w:highlight w:val="yellow"/>
        </w:rPr>
        <w:t xml:space="preserve">—Cohen’s</w:t>
      </w:r>
      <w:r>
        <w:t xml:space="preserve"> </w:t>
      </w:r>
      <m:oMath>
        <m:r>
          <m:t>κ</m:t>
        </m:r>
      </m:oMath>
      <w:r>
        <w:t xml:space="preserve">, Scott’s</w:t>
      </w:r>
      <w:r>
        <w:t xml:space="preserve"> </w:t>
      </w:r>
      <m:oMath>
        <m:r>
          <m:t>π</m:t>
        </m:r>
      </m:oMath>
      <w:r>
        <w:t xml:space="preserve"> </w:t>
      </w:r>
      <w:r>
        <w:t xml:space="preserve">and Gwet’s</w:t>
      </w:r>
      <w:r>
        <w:t xml:space="preserve"> </w:t>
      </w:r>
      <w:r>
        <w:rPr>
          <w:highlight w:val="yellow"/>
        </w:rPr>
        <w:t xml:space="preserve">AC1—particularly</w:t>
      </w:r>
      <w:r>
        <w:t xml:space="preserve"> </w:t>
      </w:r>
      <w:r>
        <w:t xml:space="preserve">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rPr>
          <w:strike/>
        </w:rPr>
        <w:t xml:space="preserve">follows each provider’s contemporaneous capability/product and</w:t>
      </w:r>
      <w:r>
        <w:t xml:space="preserve"> </w:t>
      </w:r>
      <w:r>
        <w:rPr>
          <w:highlight w:val="yellow"/>
        </w:rPr>
        <w:t xml:space="preserve">is defined operationally as the provider’s published</w:t>
      </w:r>
      <w:r>
        <w:t xml:space="preserve"> </w:t>
      </w:r>
      <w:r>
        <w:t xml:space="preserve">price positioning at the time of data</w:t>
      </w:r>
      <w:r>
        <w:t xml:space="preserve"> </w:t>
      </w:r>
      <w:r>
        <w:rPr>
          <w:strike/>
        </w:rPr>
        <w:t xml:space="preserve">collection—the per-model product identifiers and list prices are recorded in the archived model registry (</w:t>
      </w:r>
      <w:r>
        <w:rPr>
          <w:rStyle w:val="VerbatimChar"/>
          <w:strike/>
        </w:rPr>
        <w:t xml:space="preserve">data/configs/models.yaml</w:t>
      </w:r>
      <w:r>
        <w:rPr>
          <w:strike/>
        </w:rPr>
        <w:t xml:space="preserve">)—and</w:t>
      </w:r>
      <w:r>
        <w:t xml:space="preserve"> </w:t>
      </w:r>
      <w:r>
        <w:rPr>
          <w:highlight w:val="yellow"/>
        </w:rPr>
        <w:t xml:space="preserve">collection, with the tier ordering following the price ordering inside each provider family. For the OpenAI models these are the published list prices per million input and output tokens:</w:t>
      </w:r>
      <w:r>
        <w:t xml:space="preserve"> </w:t>
      </w:r>
      <w:r>
        <w:t xml:space="preserve">$</w:t>
      </w:r>
      <w:r>
        <w:rPr>
          <w:highlight w:val="yellow"/>
        </w:rPr>
        <w:t xml:space="preserve">2.50 and</w:t>
      </w:r>
      <w:r>
        <w:t xml:space="preserve"> </w:t>
      </w:r>
      <w:r>
        <w:t xml:space="preserve">$</w:t>
      </w:r>
      <w:r>
        <w:rPr>
          <w:highlight w:val="yellow"/>
        </w:rPr>
        <w:t xml:space="preserve">10.00 for GPT-4o,</w:t>
      </w:r>
      <w:r>
        <w:t xml:space="preserve"> </w:t>
      </w:r>
      <w:r>
        <w:t xml:space="preserve">$</w:t>
      </w:r>
      <w:r>
        <w:rPr>
          <w:highlight w:val="yellow"/>
        </w:rPr>
        <w:t xml:space="preserve">0.40 and</w:t>
      </w:r>
      <w:r>
        <w:t xml:space="preserve"> </w:t>
      </w:r>
      <w:r>
        <w:t xml:space="preserve">$</w:t>
      </w:r>
      <w:r>
        <w:rPr>
          <w:highlight w:val="yellow"/>
        </w:rPr>
        <w:t xml:space="preserve">1.60 for GPT-4.1-mini, and</w:t>
      </w:r>
      <w:r>
        <w:t xml:space="preserve"> </w:t>
      </w:r>
      <w:r>
        <w:t xml:space="preserve">$</w:t>
      </w:r>
      <w:r>
        <w:rPr>
          <w:highlight w:val="yellow"/>
        </w:rPr>
        <w:t xml:space="preserve">0.15 and</w:t>
      </w:r>
      <w:r>
        <w:t xml:space="preserve"> </w:t>
      </w:r>
      <w:r>
        <w:t xml:space="preserve">$</w:t>
      </w:r>
      <w:r>
        <w:rPr>
          <w:highlight w:val="yellow"/>
        </w:rPr>
        <w:t xml:space="preserve">0.60 for GPT-4o-mini</w:t>
      </w:r>
      <w:r>
        <w:t xml:space="preserve"> </w:t>
      </w:r>
      <w:r>
        <w:t xml:space="preserve">[33]</w:t>
      </w:r>
      <w:r>
        <w:rPr>
          <w:highlight w:val="yellow"/>
        </w:rPr>
        <w:t xml:space="preserve">. For the Google models the list prices current in July 2026 cannot be substantiated retrospectively, because the models were reached through</w:t>
      </w:r>
      <w:r>
        <w:t xml:space="preserve"> </w:t>
      </w:r>
      <w:r>
        <w:rPr>
          <w:rStyle w:val="VerbatimChar"/>
        </w:rPr>
        <w:t xml:space="preserve">-latest</w:t>
      </w:r>
      <w:r>
        <w:t xml:space="preserve"> </w:t>
      </w:r>
      <w:r>
        <w:rPr>
          <w:highlight w:val="yellow"/>
        </w:rP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rPr>
          <w:highlight w:val="yellow"/>
        </w:rPr>
        <w:t xml:space="preserve">) are conservative budgeting placeholders, not list prices. The tier ordering is therefore corroborated for all five models by the measured cost per call recorded in the archived spend ledger—</w:t>
      </w:r>
      <w:r>
        <w:t xml:space="preserve">$</w:t>
      </w:r>
      <w:r>
        <w:rPr>
          <w:highlight w:val="yellow"/>
        </w:rPr>
        <w:t xml:space="preserve">0.002108 for GPT-4o,</w:t>
      </w:r>
      <w:r>
        <w:t xml:space="preserve"> </w:t>
      </w:r>
      <w:r>
        <w:t xml:space="preserve">$</w:t>
      </w:r>
      <w:r>
        <w:rPr>
          <w:highlight w:val="yellow"/>
        </w:rPr>
        <w:t xml:space="preserve">0.000536 for Gemini Flash,</w:t>
      </w:r>
      <w:r>
        <w:t xml:space="preserve"> </w:t>
      </w:r>
      <w:r>
        <w:t xml:space="preserve">$</w:t>
      </w:r>
      <w:r>
        <w:rPr>
          <w:highlight w:val="yellow"/>
        </w:rPr>
        <w:t xml:space="preserve">0.000342 for GPT-4.1-mini,</w:t>
      </w:r>
      <w:r>
        <w:t xml:space="preserve"> </w:t>
      </w:r>
      <w:r>
        <w:t xml:space="preserve">$</w:t>
      </w:r>
      <w:r>
        <w:rPr>
          <w:highlight w:val="yellow"/>
        </w:rPr>
        <w:t xml:space="preserve">0.000148 for Gemini Flash-Lite and</w:t>
      </w:r>
      <w:r>
        <w:t xml:space="preserve"> </w:t>
      </w:r>
      <w:r>
        <w:t xml:space="preserve">$</w:t>
      </w:r>
      <w:r>
        <w:rPr>
          <w:highlight w:val="yellow"/>
        </w:rPr>
        <w:t xml:space="preserve">0.000125 for GPT-4o-mini—which is reproducible from the deposit. Tier</w:t>
      </w:r>
      <w:r>
        <w:t xml:space="preserve"> </w:t>
      </w:r>
      <w:r>
        <w:t xml:space="preserve">is used only within provider families, not as a universal cross-provider capability scale.</w:t>
      </w:r>
    </w:p>
    <w:bookmarkEnd w:id="15"/>
    <w:bookmarkStart w:id="16"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6"/>
    <w:bookmarkStart w:id="17"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7"/>
    <w:bookmarkStart w:id="18"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8"/>
    <w:bookmarkEnd w:id="19"/>
    <w:bookmarkStart w:id="25" w:name="sec:results"/>
    <w:p>
      <w:pPr>
        <w:pStyle w:val="Heading1"/>
      </w:pPr>
      <w:r>
        <w:rPr>
          <w:rStyle w:val="SectionNumber"/>
        </w:rPr>
        <w:t xml:space="preserve">3</w:t>
      </w:r>
      <w:r>
        <w:tab/>
      </w:r>
      <w:r>
        <w:t xml:space="preserve">Results</w:t>
      </w:r>
    </w:p>
    <w:bookmarkStart w:id="20"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w:t>
      </w:r>
      <w:r>
        <w:t xml:space="preserve"> </w:t>
      </w:r>
      <w:r>
        <w:rPr>
          <w:strike/>
        </w:rPr>
        <w:t xml:space="preserve">0.3% (1</w:t>
      </w:r>
      <w:r>
        <w:t xml:space="preserve"> </w:t>
      </w:r>
      <w:r>
        <w:rPr>
          <w:highlight w:val="yellow"/>
        </w:rPr>
        <w:t xml:space="preserve">2.3</w:t>
      </w:r>
      <w:r>
        <w:t xml:space="preserve">%</w:t>
      </w:r>
      <w:r>
        <w:t xml:space="preserve"> </w:t>
      </w:r>
      <w:r>
        <w:rPr>
          <w:highlight w:val="yellow"/>
        </w:rPr>
        <w:t xml:space="preserve">(7</w:t>
      </w:r>
      <w:r>
        <w:t xml:space="preserve"> </w:t>
      </w:r>
      <w:r>
        <w:t xml:space="preserve">of 300 cases) for Gemini Flash to</w:t>
      </w:r>
      <w:r>
        <w:t xml:space="preserve"> </w:t>
      </w:r>
      <w:r>
        <w:rPr>
          <w:strike/>
        </w:rPr>
        <w:t xml:space="preserve">83.0% (249</w:t>
      </w:r>
      <w:r>
        <w:t xml:space="preserve"> </w:t>
      </w:r>
      <w:r>
        <w:rPr>
          <w:highlight w:val="yellow"/>
        </w:rPr>
        <w:t xml:space="preserve">85.7</w:t>
      </w:r>
      <w:r>
        <w:t xml:space="preserve">%</w:t>
      </w:r>
      <w:r>
        <w:t xml:space="preserve"> </w:t>
      </w:r>
      <w:r>
        <w:rPr>
          <w:highlight w:val="yellow"/>
        </w:rPr>
        <w:t xml:space="preserve">(257</w:t>
      </w:r>
      <w:r>
        <w:t xml:space="preserve"> </w:t>
      </w:r>
      <w:r>
        <w:t xml:space="preserve">of 300 cases) for GPT-4o-mini. The resulting cross-model spread was</w:t>
      </w:r>
      <w:r>
        <w:t xml:space="preserve"> </w:t>
      </w:r>
      <w:r>
        <w:rPr>
          <w:strike/>
        </w:rPr>
        <w:t xml:space="preserve">82.7</w:t>
      </w:r>
      <w:r>
        <w:t xml:space="preserve"> </w:t>
      </w:r>
      <w:r>
        <w:rPr>
          <w:highlight w:val="yellow"/>
        </w:rPr>
        <w:t xml:space="preserve">83.3</w:t>
      </w:r>
      <w:r>
        <w:t xml:space="preserve"> </w:t>
      </w:r>
      <w:r>
        <w:t xml:space="preserve">percentage points (95% confidence interval [CI]</w:t>
      </w:r>
      <w:r>
        <w:t xml:space="preserve"> </w:t>
      </w:r>
      <w:r>
        <w:rPr>
          <w:strike/>
        </w:rPr>
        <w:t xml:space="preserve">69.2–95.3; cluster bootstrap over</w:t>
      </w:r>
      <w:r>
        <w:t xml:space="preserve"> </w:t>
      </w:r>
      <w:r>
        <w:rPr>
          <w:highlight w:val="yellow"/>
        </w:rPr>
        <w:t xml:space="preserve">71.8–93.7; cluster bootstrap over the eight</w:t>
      </w:r>
      <w:r>
        <w:t xml:space="preserve"> </w:t>
      </w:r>
      <w:r>
        <w:t xml:space="preserve">typology strata) (Fig. </w:t>
      </w:r>
      <w:hyperlink w:anchor="fig:fp">
        <w:r>
          <w:rPr>
            <w:rStyle w:val="Hyperlink"/>
          </w:rPr>
          <w:t xml:space="preserve">2</w:t>
        </w:r>
      </w:hyperlink>
      <w:r>
        <w:t xml:space="preserve">; Table </w:t>
      </w:r>
      <w:hyperlink w:anchor="tab:ops">
        <w:r>
          <w:rPr>
            <w:rStyle w:val="Hyperlink"/>
          </w:rPr>
          <w:t xml:space="preserve">2</w:t>
        </w:r>
      </w:hyperlink>
      <w:r>
        <w:t xml:space="preserve">). The overall difference among the five models was highly significant when evaluated on the same legitimate cases as paired binary classifications (Cochran’s</w:t>
      </w:r>
      <w:r>
        <w:t xml:space="preserve"> </w:t>
      </w:r>
      <m:oMath>
        <m:r>
          <m:t>Q</m:t>
        </m:r>
        <m:r>
          <m:rPr>
            <m:sty m:val="p"/>
          </m:rPr>
          <m:t>=</m:t>
        </m:r>
        <m:r>
          <m:t>131.6</m:t>
        </m:r>
      </m:oMath>
      <w:r>
        <w:rPr>
          <w:strike/>
        </w:rPr>
        <w:t xml:space="preserve">,</w:t>
      </w:r>
      <w:r>
        <w:rPr>
          <w:strike/>
        </w:rPr>
        <w:t xml:space="preserve"> </w:t>
      </w:r>
      <m:oMath>
        <m:r>
          <m:rPr>
            <m:sty m:val="p"/>
          </m:rPr>
          <m:t>d</m:t>
        </m:r>
        <m:r>
          <m:rPr>
            <m:sty m:val="p"/>
          </m:rPr>
          <m:t>f</m:t>
        </m:r>
        <m:r>
          <m:rPr>
            <m:sty m:val="p"/>
          </m:rPr>
          <m:t>=</m:t>
        </m:r>
        <m:r>
          <m:t>4</m:t>
        </m:r>
      </m:oMath>
      <w:r>
        <w:rPr>
          <w:strike/>
        </w:rPr>
        <w:t xml:space="preserve">,</w:t>
      </w:r>
      <w:r>
        <w:rPr>
          <w:strike/>
        </w:rPr>
        <w:t xml:space="preserve"> </w:t>
      </w:r>
      <m:oMath>
        <m:r>
          <m:t>P</m:t>
        </m:r>
        <m:r>
          <m:rPr>
            <m:sty m:val="p"/>
          </m:rPr>
          <m:t>≈</m:t>
        </m:r>
        <m:r>
          <m:t>2</m:t>
        </m:r>
        <m:r>
          <m:rPr>
            <m:sty m:val="p"/>
          </m:rPr>
          <m:t>×</m:t>
        </m:r>
        <m:sSup>
          <m:e>
            <m:r>
              <m:t>10</m:t>
            </m:r>
          </m:e>
          <m:sup>
            <m:r>
              <m:rPr>
                <m:sty m:val="p"/>
              </m:rPr>
              <m:t>−</m:t>
            </m:r>
            <m:r>
              <m:t>27</m:t>
            </m:r>
          </m:sup>
        </m:sSup>
      </m:oMath>
      <w:r>
        <w:t xml:space="preserve"> </w:t>
      </w:r>
      <m:oMath>
        <m:r>
          <m:t>Q</m:t>
        </m:r>
        <m:r>
          <m:rPr>
            <m:sty m:val="p"/>
          </m:rPr>
          <m:t>=</m:t>
        </m:r>
        <m:r>
          <m:t>117.0</m:t>
        </m:r>
      </m:oMath>
      <w:r>
        <w:rPr>
          <w:highlight w:val="yellow"/>
        </w:rPr>
        <w:t xml:space="preserve">,</w:t>
      </w:r>
      <w:r>
        <w:t xml:space="preserve"> </w:t>
      </w:r>
      <m:oMath>
        <m:r>
          <m:rPr>
            <m:sty m:val="p"/>
          </m:rPr>
          <m:t>d</m:t>
        </m:r>
        <m:r>
          <m:rPr>
            <m:sty m:val="p"/>
          </m:rPr>
          <m:t>f</m:t>
        </m:r>
        <m:r>
          <m:rPr>
            <m:sty m:val="p"/>
          </m:rPr>
          <m:t>=</m:t>
        </m:r>
        <m:r>
          <m:t>4</m:t>
        </m:r>
      </m:oMath>
      <w:r>
        <w:rPr>
          <w:highlight w:val="yellow"/>
        </w:rPr>
        <w:t xml:space="preserve">,</w:t>
      </w:r>
      <w:r>
        <w:t xml:space="preserve"> </w:t>
      </w:r>
      <m:oMath>
        <m:r>
          <m:t>P</m:t>
        </m:r>
        <m:r>
          <m:rPr>
            <m:sty m:val="p"/>
          </m:rPr>
          <m:t>≈</m:t>
        </m:r>
        <m:r>
          <m:t>2.3</m:t>
        </m:r>
        <m:r>
          <m:rPr>
            <m:sty m:val="p"/>
          </m:rPr>
          <m:t>×</m:t>
        </m:r>
        <m:sSup>
          <m:e>
            <m:r>
              <m:t>10</m:t>
            </m:r>
          </m:e>
          <m:sup>
            <m:r>
              <m:rPr>
                <m:sty m:val="p"/>
              </m:rPr>
              <m:t>−</m:t>
            </m:r>
            <m:r>
              <m:t>24</m:t>
            </m:r>
          </m:sup>
        </m:sSup>
      </m:oMath>
      <w:r>
        <w:rPr>
          <w:highlight w:val="yellow"/>
        </w:rPr>
        <w:t xml:space="preserve">). Because cases generated from a shared typology template are not independent, the same null was also tested by a permutation procedure that resamples the eight typology strata as clusters; no permutation of 2,000 reached the observed statistic (</w:t>
      </w:r>
      <m:oMath>
        <m:r>
          <m:t>P</m:t>
        </m:r>
        <m:r>
          <m:rPr>
            <m:sty m:val="p"/>
          </m:rPr>
          <m:t>&lt;</m:t>
        </m:r>
        <m:r>
          <m:t>0.001</m:t>
        </m:r>
      </m:oMath>
      <w:r>
        <w:t xml:space="preserve">). Pairwise exact McNemar tests (Bonferroni-corrected across the ten possible model comparisons) compared every model pair on the same legitimate cases.</w:t>
      </w:r>
      <w:r>
        <w:t xml:space="preserve"> </w:t>
      </w:r>
      <w:r>
        <w:rPr>
          <w:strike/>
        </w:rPr>
        <w:t xml:space="preserve">Grouping the models by observed false-positive rate into a low pair (Gemini Flash, GPT-4o), an intermediate pair (GPT-4.1-mini, Gemini Flash-Lite), and GPT-4o-mini, all between-group</w:t>
      </w:r>
      <w:r>
        <w:t xml:space="preserve"> </w:t>
      </w:r>
      <w:r>
        <w:rPr>
          <w:highlight w:val="yellow"/>
        </w:rPr>
        <w:t xml:space="preserve">Nine of the ten</w:t>
      </w:r>
      <w:r>
        <w:t xml:space="preserve"> </w:t>
      </w:r>
      <w:r>
        <w:t xml:space="preserve">comparisons were statistically significant after</w:t>
      </w:r>
      <w:r>
        <w:t xml:space="preserve"> </w:t>
      </w:r>
      <w:r>
        <w:rPr>
          <w:strike/>
        </w:rPr>
        <w:t xml:space="preserve">correction (</w:t>
      </w:r>
      <m:oMath>
        <m:r>
          <m:t>P</m:t>
        </m:r>
        <m:r>
          <m:rPr>
            <m:sty m:val="p"/>
          </m:rPr>
          <m:t>&lt;</m:t>
        </m:r>
        <m:sSup>
          <m:e>
            <m:r>
              <m:t>10</m:t>
            </m:r>
          </m:e>
          <m:sup>
            <m:r>
              <m:rPr>
                <m:sty m:val="p"/>
              </m:rPr>
              <m:t>−</m:t>
            </m:r>
            <m:r>
              <m:t>18</m:t>
            </m:r>
          </m:sup>
        </m:sSup>
      </m:oMath>
      <w:r>
        <w:rPr>
          <w:strike/>
        </w:rPr>
        <w:t xml:space="preserve">), whereas the two within-group comparisons were not statistically significant (</w:t>
      </w:r>
      <m:oMath>
        <m:r>
          <m:t>P</m:t>
        </m:r>
        <m:r>
          <m:rPr>
            <m:sty m:val="p"/>
          </m:rPr>
          <m:t>=</m:t>
        </m:r>
        <m:r>
          <m:t>1.0</m:t>
        </m:r>
      </m:oMath>
      <w:r>
        <w:rPr>
          <w:strike/>
        </w:rPr>
        <w:t xml:space="preserve">)</w:t>
      </w:r>
      <w:r>
        <w:t xml:space="preserve"> </w:t>
      </w:r>
      <w:r>
        <w:rPr>
          <w:highlight w:val="yellow"/>
        </w:rPr>
        <w:t xml:space="preserve">correction, the weakest being Gemini Flash versus GPT-4o (</w:t>
      </w:r>
      <m:oMath>
        <m:r>
          <m:t>P</m:t>
        </m:r>
        <m:r>
          <m:rPr>
            <m:sty m:val="p"/>
          </m:rPr>
          <m:t>=</m:t>
        </m:r>
        <m:r>
          <m:t>4.0</m:t>
        </m:r>
        <m:r>
          <m:rPr>
            <m:sty m:val="p"/>
          </m:rPr>
          <m:t>×</m:t>
        </m:r>
        <m:sSup>
          <m:e>
            <m:r>
              <m:t>10</m:t>
            </m:r>
          </m:e>
          <m:sup>
            <m:r>
              <m:rPr>
                <m:sty m:val="p"/>
              </m:rPr>
              <m:t>−</m:t>
            </m:r>
            <m:r>
              <m:t>3</m:t>
            </m:r>
          </m:sup>
        </m:sSup>
      </m:oMath>
      <w:r>
        <w:rPr>
          <w:highlight w:val="yellow"/>
        </w:rPr>
        <w:t xml:space="preserve">). The single exception was GPT-4.1-mini versus Gemini Flash-Lite (</w:t>
      </w:r>
      <m:oMath>
        <m:r>
          <m:t>P</m:t>
        </m:r>
        <m:r>
          <m:rPr>
            <m:sty m:val="p"/>
          </m:rPr>
          <m:t>=</m:t>
        </m:r>
        <m:r>
          <m:t>0.76</m:t>
        </m:r>
      </m:oMath>
      <w:r>
        <w:rPr>
          <w:highlight w:val="yellow"/>
        </w:rPr>
        <w:t xml:space="preserve">), two models that occupy the same region of the operating-point space</w:t>
      </w:r>
      <w:r>
        <w:t xml:space="preserve"> </w:t>
      </w:r>
      <w:r>
        <w:t xml:space="preserve">(Table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w:t>
      </w:r>
      <w:r>
        <w:t xml:space="preserve"> </w:t>
      </w:r>
      <w:r>
        <w:rPr>
          <w:strike/>
        </w:rPr>
        <w:t xml:space="preserve">85.7</w:t>
      </w:r>
      <w:r>
        <w:t xml:space="preserve"> </w:t>
      </w:r>
      <w:r>
        <w:rPr>
          <w:highlight w:val="yellow"/>
        </w:rPr>
        <w:t xml:space="preserve">88.7</w:t>
      </w:r>
      <w:r>
        <w:t xml:space="preserve">% of the legitimate cases (95% CI</w:t>
      </w:r>
      <w:r>
        <w:t xml:space="preserve"> </w:t>
      </w:r>
      <w:r>
        <w:rPr>
          <w:strike/>
        </w:rPr>
        <w:t xml:space="preserve">75.1–95.4).</w:t>
      </w:r>
      <w:r>
        <w:t xml:space="preserve"> </w:t>
      </w:r>
      <w:r>
        <w:rPr>
          <w:highlight w:val="yellow"/>
        </w:rPr>
        <w:t xml:space="preserve">82.2–95.0).</w:t>
      </w:r>
      <w:r>
        <w:t xml:space="preserve"> </w:t>
      </w:r>
      <w:r>
        <w:t xml:space="preserve">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20"/>
    <w:bookmarkStart w:id="21"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3</w:t>
        </w:r>
      </w:hyperlink>
      <w:r>
        <w:t xml:space="preserve">; Table </w:t>
      </w:r>
      <w:hyperlink w:anchor="tab:ops">
        <w:r>
          <w:rPr>
            <w:rStyle w:val="Hyperlink"/>
          </w:rPr>
          <w:t xml:space="preserve">2</w:t>
        </w:r>
      </w:hyperlink>
      <w:r>
        <w:t xml:space="preserve">). Across the three OpenAI models, the false-positive rate fell from</w:t>
      </w:r>
      <w:r>
        <w:t xml:space="preserve"> </w:t>
      </w:r>
      <w:r>
        <w:rPr>
          <w:strike/>
        </w:rPr>
        <w:t xml:space="preserve">83.0% for GPT-4o-mini, to 23.7% for GPT-4.1-mini, to 1.0</w:t>
      </w:r>
      <w:r>
        <w:t xml:space="preserve"> </w:t>
      </w:r>
      <w:r>
        <w:rPr>
          <w:highlight w:val="yellow"/>
        </w:rPr>
        <w:t xml:space="preserve">85.7</w:t>
      </w:r>
      <w:r>
        <w:t xml:space="preserve">%</w:t>
      </w:r>
      <w:r>
        <w:t xml:space="preserve"> </w:t>
      </w:r>
      <w:r>
        <w:rPr>
          <w:highlight w:val="yellow"/>
        </w:rPr>
        <w:t xml:space="preserve">for GPT-4o-mini, to 37.0</w:t>
      </w:r>
      <w:r>
        <w:t xml:space="preserve">%</w:t>
      </w:r>
      <w:r>
        <w:t xml:space="preserve"> </w:t>
      </w:r>
      <w:r>
        <w:rPr>
          <w:highlight w:val="yellow"/>
        </w:rPr>
        <w:t xml:space="preserve">for GPT-4.1-mini, to 7.7</w:t>
      </w:r>
      <w:r>
        <w:t xml:space="preserve">% for GPT-4o. Across the two Google models, it fell from</w:t>
      </w:r>
      <w:r>
        <w:t xml:space="preserve"> </w:t>
      </w:r>
      <w:r>
        <w:rPr>
          <w:strike/>
        </w:rPr>
        <w:t xml:space="preserve">24.7% for Gemini Flash-Lite to 0.3</w:t>
      </w:r>
      <w:r>
        <w:t xml:space="preserve"> </w:t>
      </w:r>
      <w:r>
        <w:rPr>
          <w:highlight w:val="yellow"/>
        </w:rPr>
        <w:t xml:space="preserve">44.0</w:t>
      </w:r>
      <w:r>
        <w:t xml:space="preserve">%</w:t>
      </w:r>
      <w:r>
        <w:t xml:space="preserve"> </w:t>
      </w:r>
      <w:r>
        <w:rPr>
          <w:highlight w:val="yellow"/>
        </w:rPr>
        <w:t xml:space="preserve">for Gemini Flash-Lite to 2.3</w:t>
      </w:r>
      <w:r>
        <w:t xml:space="preserve">% for Gemini Flash. In both provider families, the smaller, lower-tier model generated more false positives.</w:t>
      </w:r>
    </w:p>
    <w:p>
      <w:pPr>
        <w:pStyle w:val="BodyText"/>
      </w:pPr>
      <w:r>
        <w:rPr>
          <w:highlight w:val="yellow"/>
        </w:rP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w:t>
      </w:r>
      <w:r>
        <w:t xml:space="preserve">%</w:t>
      </w:r>
      <w:r>
        <w:t xml:space="preserve"> </w:t>
      </w:r>
      <w:r>
        <w:rPr>
          <w:highlight w:val="yellow"/>
        </w:rPr>
        <w:t xml:space="preserve">CI 12.6–51.2), GPT-4.1-mini to GPT-4o-mini (3 and 149; 48.7 points, CI 25.8–72.5), and Gemini Flash to Gemini Flash-Lite (0 and 125; 41.7 points, CI 19.7–65.2). Each interval excludes zero.</w:t>
      </w:r>
      <w:r>
        <w:t xml:space="preserve"> </w:t>
      </w:r>
      <w:r>
        <w:t xml:space="preserve">This monotonic pattern should be understood only within the</w:t>
      </w:r>
      <w:r>
        <w:t xml:space="preserve"> </w:t>
      </w:r>
      <w:r>
        <w:rPr>
          <w:strike/>
        </w:rPr>
        <w:t xml:space="preserve">evaluated model</w:t>
      </w:r>
      <w:r>
        <w:t xml:space="preserve"> </w:t>
      </w:r>
      <w:r>
        <w:rPr>
          <w:highlight w:val="yellow"/>
        </w:rPr>
        <w:t xml:space="preserve">two evaluated provider</w:t>
      </w:r>
      <w:r>
        <w:t xml:space="preserve"> </w:t>
      </w:r>
      <w:r>
        <w:t xml:space="preserve">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w:t>
      </w:r>
      <w:r>
        <w:t xml:space="preserve"> </w:t>
      </w:r>
      <w:r>
        <w:rPr>
          <w:strike/>
        </w:rPr>
        <w:t xml:space="preserve">83.0</w:t>
      </w:r>
      <w:r>
        <w:t xml:space="preserve"> </w:t>
      </w:r>
      <w:r>
        <w:rPr>
          <w:highlight w:val="yellow"/>
        </w:rPr>
        <w:t xml:space="preserve">85.7</w:t>
      </w:r>
      <w:r>
        <w:t xml:space="preserve">% of legitimate cases. Gemini Flash, by contrast, had the lowest false-positive rate</w:t>
      </w:r>
      <w:r>
        <w:t xml:space="preserve"> </w:t>
      </w:r>
      <w:r>
        <w:rPr>
          <w:strike/>
        </w:rPr>
        <w:t xml:space="preserve">(0.3</w:t>
      </w:r>
      <w:r>
        <w:t xml:space="preserve"> </w:t>
      </w:r>
      <w:r>
        <w:rPr>
          <w:highlight w:val="yellow"/>
        </w:rPr>
        <w:t xml:space="preserve">(2.3</w:t>
      </w:r>
      <w:r>
        <w:t xml:space="preserve">%)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3</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w:t>
      </w:r>
      <w:r>
        <w:t xml:space="preserve"> </w:t>
      </w:r>
      <w:r>
        <w:rPr>
          <w:strike/>
        </w:rPr>
        <w:t xml:space="preserve">58</w:t>
      </w:r>
      <w:r>
        <w:t xml:space="preserve"> </w:t>
      </w:r>
      <w:r>
        <w:rPr>
          <w:highlight w:val="yellow"/>
        </w:rPr>
        <w:t xml:space="preserve">42</w:t>
      </w:r>
      <w:r>
        <w:t xml:space="preserve"> </w:t>
      </w:r>
      <w:r>
        <w:t xml:space="preserve">percentage points in false-positive rate. In contrast, the two higher-tier models, GPT-4o and Gemini Flash,</w:t>
      </w:r>
      <w:r>
        <w:t xml:space="preserve"> </w:t>
      </w:r>
      <w:r>
        <w:rPr>
          <w:strike/>
        </w:rPr>
        <w:t xml:space="preserve">converged near zero false positives, at 1.0% and 0.3</w:t>
      </w:r>
      <w:r>
        <w:t xml:space="preserve"> </w:t>
      </w:r>
      <w:r>
        <w:rPr>
          <w:highlight w:val="yellow"/>
        </w:rPr>
        <w:t xml:space="preserve">remained an order of magnitude lower than the most permissive model, at 7.7</w:t>
      </w:r>
      <w:r>
        <w:t xml:space="preserve">%</w:t>
      </w:r>
      <w:r>
        <w:t xml:space="preserve"> </w:t>
      </w:r>
      <w:r>
        <w:rPr>
          <w:highlight w:val="yellow"/>
        </w:rPr>
        <w:t xml:space="preserve">and 2.3</w:t>
      </w:r>
      <w:r>
        <w:t xml:space="preserve">% respectively.</w:t>
      </w:r>
    </w:p>
    <w:bookmarkEnd w:id="21"/>
    <w:bookmarkStart w:id="22"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w:t>
      </w:r>
      <w:r>
        <w:t xml:space="preserve"> </w:t>
      </w:r>
      <w:r>
        <w:rPr>
          <w:strike/>
        </w:rPr>
        <w:t xml:space="preserve">4,200</w:t>
      </w:r>
      <w:r>
        <w:t xml:space="preserve"> </w:t>
      </w:r>
      <w:r>
        <w:rPr>
          <w:highlight w:val="yellow"/>
        </w:rPr>
        <w:t xml:space="preserve">24,000</w:t>
      </w:r>
      <w:r>
        <w:t xml:space="preserve"> </w:t>
      </w:r>
      <w:r>
        <w:t xml:space="preserve">alerts for Gemini Flash to approximately</w:t>
      </w:r>
      <w:r>
        <w:t xml:space="preserve"> </w:t>
      </w:r>
      <w:r>
        <w:rPr>
          <w:strike/>
        </w:rPr>
        <w:t xml:space="preserve">830,000</w:t>
      </w:r>
      <w:r>
        <w:t xml:space="preserve"> </w:t>
      </w:r>
      <w:r>
        <w:rPr>
          <w:highlight w:val="yellow"/>
        </w:rPr>
        <w:t xml:space="preserve">857,000</w:t>
      </w:r>
      <w:r>
        <w:t xml:space="preserve"> </w:t>
      </w:r>
      <w:r>
        <w:t xml:space="preserve">alerts for GPT-4o-mini (Fig. </w:t>
      </w:r>
      <w:hyperlink w:anchor="fig:vol">
        <w:r>
          <w:rPr>
            <w:rStyle w:val="Hyperlink"/>
          </w:rPr>
          <w:t xml:space="preserve">4</w:t>
        </w:r>
      </w:hyperlink>
      <w:r>
        <w:t xml:space="preserve">; Table </w:t>
      </w:r>
      <w:hyperlink w:anchor="tab:vol">
        <w:r>
          <w:rPr>
            <w:rStyle w:val="Hyperlink"/>
          </w:rPr>
          <w:t xml:space="preserve">4</w:t>
        </w:r>
      </w:hyperlink>
      <w:r>
        <w:t xml:space="preserve">)—a difference in daily alert workload of about</w:t>
      </w:r>
      <w:r>
        <w:t xml:space="preserve"> </w:t>
      </w:r>
      <w:r>
        <w:rPr>
          <w:strike/>
        </w:rPr>
        <w:t xml:space="preserve">197-fold</w:t>
      </w:r>
      <w:r>
        <w:t xml:space="preserve"> </w:t>
      </w:r>
      <w:r>
        <w:rPr>
          <w:highlight w:val="yellow"/>
        </w:rPr>
        <w:t xml:space="preserve">35-fold</w:t>
      </w:r>
      <w:r>
        <w:t xml:space="preserve"> </w:t>
      </w:r>
      <w:r>
        <w:t xml:space="preserve">on the same underlying transaction population. The contents of those alert queues also differed sharply. At the Gemini Flash operating point, the estimated precision was about</w:t>
      </w:r>
      <w:r>
        <w:t xml:space="preserve"> </w:t>
      </w:r>
      <w:r>
        <w:rPr>
          <w:strike/>
        </w:rPr>
        <w:t xml:space="preserve">20.9</w:t>
      </w:r>
      <w:r>
        <w:t xml:space="preserve"> </w:t>
      </w:r>
      <w:r>
        <w:rPr>
          <w:highlight w:val="yellow"/>
        </w:rPr>
        <w:t xml:space="preserve">3.6</w:t>
      </w:r>
      <w:r>
        <w:t xml:space="preserve">%, versus about 0.12% at the GPT-4o-mini operating point; at the latter, about 999 of every 1,000 alerts would be expected to be false under the stated prevalence assumption.</w:t>
      </w:r>
    </w:p>
    <w:p>
      <w:pPr>
        <w:pStyle w:val="BodyText"/>
      </w:pPr>
      <w:r>
        <w:rPr>
          <w:highlight w:val="yellow"/>
        </w:rPr>
        <w:t xml:space="preserve">The magnitude of this ratio depends on how the replicate calls are reduced to one decision per case, whereas the ordering of the models does not. Under the four deployable single-call configurations</w:t>
      </w:r>
      <w:r>
        <w:t xml:space="preserve"> </w:t>
      </w:r>
      <w:r>
        <w:t xml:space="preserve">(Section </w:t>
      </w:r>
      <w:hyperlink w:anchor="sec:agg">
        <w:r>
          <w:rPr>
            <w:rStyle w:val="Hyperlink"/>
          </w:rPr>
          <w:t xml:space="preserve">2.3</w:t>
        </w:r>
      </w:hyperlink>
      <w:r>
        <w:rPr>
          <w:highlight w:val="yellow"/>
        </w:rP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w:t>
      </w:r>
      <w:r>
        <w:t xml:space="preserve">%</w:t>
      </w:r>
      <w:r>
        <w:t xml:space="preserve"> </w:t>
      </w:r>
      <w:r>
        <w:rPr>
          <w:highlight w:val="yellow"/>
        </w:rPr>
        <w:t xml:space="preserve">to 1</w:t>
      </w:r>
      <w:r>
        <w:t xml:space="preserve">%</w:t>
      </w:r>
      <w:r>
        <w:t xml:space="preserve"> </w:t>
      </w:r>
      <w:r>
        <w:rPr>
          <w:highlight w:val="yellow"/>
        </w:rPr>
        <w:t xml:space="preserve">moves the ratio from about 37-fold to about 27-fold while leaving the ordering unchanged</w:t>
      </w:r>
      <w:r>
        <w:t xml:space="preserve"> </w:t>
      </w:r>
      <w:r>
        <w:t xml:space="preserve">(Fig. </w:t>
      </w:r>
      <w:hyperlink w:anchor="fig:sweep">
        <w:r>
          <w:rPr>
            <w:rStyle w:val="Hyperlink"/>
          </w:rPr>
          <w:t xml:space="preserve">1</w:t>
        </w:r>
      </w:hyperlink>
      <w:r>
        <w:rPr>
          <w:highlight w:val="yellow"/>
        </w:rPr>
        <w:t xml:space="preserve">), because true positives occupy a growing share of the queue for the low-false-positive models as prevalence rises. Precision moves over the same range from 0.4</w:t>
      </w:r>
      <w:r>
        <w:t xml:space="preserve">%</w:t>
      </w:r>
      <w:r>
        <w:t xml:space="preserve"> </w:t>
      </w:r>
      <w:r>
        <w:rPr>
          <w:highlight w:val="yellow"/>
        </w:rPr>
        <w:t xml:space="preserve">to 27.6</w:t>
      </w:r>
      <w:r>
        <w:t xml:space="preserve">%</w:t>
      </w:r>
      <w:r>
        <w:t xml:space="preserve"> </w:t>
      </w:r>
      <w:r>
        <w:rPr>
          <w:highlight w:val="yellow"/>
        </w:rPr>
        <w:t xml:space="preserve">for Gemini Flash and from 0.01</w:t>
      </w:r>
      <w:r>
        <w:t xml:space="preserve">%</w:t>
      </w:r>
      <w:r>
        <w:t xml:space="preserve"> </w:t>
      </w:r>
      <w:r>
        <w:rPr>
          <w:highlight w:val="yellow"/>
        </w:rPr>
        <w:t xml:space="preserve">to 1.2</w:t>
      </w:r>
      <w:r>
        <w:t xml:space="preserve">%</w:t>
      </w:r>
      <w:r>
        <w:t xml:space="preserve"> </w:t>
      </w:r>
      <w:r>
        <w:rPr>
          <w:highlight w:val="yellow"/>
        </w:rPr>
        <w:t xml:space="preserve">for GPT-4o-mini.</w:t>
      </w:r>
      <w:r>
        <w:t xml:space="preserve"> </w:t>
      </w:r>
      <w:r>
        <w:t xml:space="preserve">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2"/>
    <w:bookmarkStart w:id="23"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much lower false-positive rates;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3"/>
    <w:bookmarkStart w:id="24"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w:t>
      </w:r>
      <w:r>
        <w:t xml:space="preserve"> </w:t>
      </w:r>
      <w:r>
        <w:rPr>
          <w:strike/>
        </w:rPr>
        <w:t xml:space="preserve">0.3%</w:t>
      </w:r>
      <m:oMath>
        <m:r>
          <m:rPr>
            <m:sty m:val="p"/>
          </m:rPr>
          <m:t>→</m:t>
        </m:r>
      </m:oMath>
      <w:r>
        <w:rPr>
          <w:strike/>
        </w:rPr>
        <w:t xml:space="preserve">7.7%, GPT-4.1-mini 20.7%</w:t>
      </w:r>
      <m:oMath>
        <m:r>
          <m:rPr>
            <m:sty m:val="p"/>
          </m:rPr>
          <m:t>→</m:t>
        </m:r>
      </m:oMath>
      <w:r>
        <w:rPr>
          <w:strike/>
        </w:rPr>
        <w:t xml:space="preserve">36.7</w:t>
      </w:r>
      <w:r>
        <w:t xml:space="preserve"> </w:t>
      </w:r>
      <w:r>
        <w:rPr>
          <w:highlight w:val="yellow"/>
        </w:rPr>
        <w:t xml:space="preserve">1.0</w:t>
      </w:r>
      <w:r>
        <w:t xml:space="preserve">%</w:t>
      </w:r>
      <m:oMath>
        <m:r>
          <m:rPr>
            <m:sty m:val="p"/>
          </m:rPr>
          <m:t>→</m:t>
        </m:r>
      </m:oMath>
      <w:r>
        <w:rPr>
          <w:highlight w:val="yellow"/>
        </w:rPr>
        <w:t xml:space="preserve">9.7</w:t>
      </w:r>
      <w:r>
        <w:t xml:space="preserve">%</w:t>
      </w:r>
      <w:r>
        <w:rPr>
          <w:highlight w:val="yellow"/>
        </w:rPr>
        <w:t xml:space="preserve">, GPT-4.1-mini 24.0</w:t>
      </w:r>
      <w:r>
        <w:t xml:space="preserve">%</w:t>
      </w:r>
      <m:oMath>
        <m:r>
          <m:rPr>
            <m:sty m:val="p"/>
          </m:rPr>
          <m:t>→</m:t>
        </m:r>
      </m:oMath>
      <w:r>
        <w:rPr>
          <w:highlight w:val="yellow"/>
        </w:rPr>
        <w:t xml:space="preserve">42.7</w:t>
      </w:r>
      <w:r>
        <w:t xml:space="preserve">%, Gemini Flash-Lite 24.7%</w:t>
      </w:r>
      <m:oMath>
        <m:r>
          <m:rPr>
            <m:sty m:val="p"/>
          </m:rPr>
          <m:t>→</m:t>
        </m:r>
      </m:oMath>
      <w:r>
        <w:t xml:space="preserve">44.0%, and GPT-4o-mini</w:t>
      </w:r>
      <w:r>
        <w:t xml:space="preserve"> </w:t>
      </w:r>
      <w:r>
        <w:rPr>
          <w:strike/>
        </w:rPr>
        <w:t xml:space="preserve">78.7%</w:t>
      </w:r>
      <m:oMath>
        <m:r>
          <m:rPr>
            <m:sty m:val="p"/>
          </m:rPr>
          <m:t>→</m:t>
        </m:r>
      </m:oMath>
      <w:r>
        <w:rPr>
          <w:strike/>
        </w:rPr>
        <w:t xml:space="preserve">85.0</w:t>
      </w:r>
      <w:r>
        <w:t xml:space="preserve"> </w:t>
      </w:r>
      <w:r>
        <w:rPr>
          <w:highlight w:val="yellow"/>
        </w:rPr>
        <w:t xml:space="preserve">82.7</w:t>
      </w:r>
      <w:r>
        <w:t xml:space="preserve">%</w:t>
      </w:r>
      <m:oMath>
        <m:r>
          <m:rPr>
            <m:sty m:val="p"/>
          </m:rPr>
          <m:t>→</m:t>
        </m:r>
      </m:oMath>
      <w:r>
        <w:rPr>
          <w:highlight w:val="yellow"/>
        </w:rPr>
        <w:t xml:space="preserve">90.0</w:t>
      </w:r>
      <w:r>
        <w:t xml:space="preserve">%.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rPr>
          <w:strike/>
        </w:rPr>
        <w:t xml:space="preserve">); Scott’s</w:t>
      </w:r>
      <w:r>
        <w:rPr>
          <w:strike/>
        </w:rPr>
        <w:t xml:space="preserve"> </w:t>
      </w:r>
      <m:oMath>
        <m:r>
          <m:t>π</m:t>
        </m:r>
      </m:oMath>
      <w:r>
        <w:rPr>
          <w:strike/>
        </w:rPr>
        <w:t xml:space="preserve"> </w:t>
      </w:r>
      <w:r>
        <w:rPr>
          <w:strike/>
        </w:rPr>
        <w:t xml:space="preserve">and Gwet’s AC1 gave consistent conclusions.</w:t>
      </w:r>
      <w:r>
        <w:t xml:space="preserve"> </w:t>
      </w:r>
      <w:r>
        <w:rPr>
          <w:highlight w:val="yellow"/>
        </w:rPr>
        <w:t xml:space="preserve">) and a mean pairwise Scott’s</w:t>
      </w:r>
      <w:r>
        <w:t xml:space="preserve"> </w:t>
      </w:r>
      <m:oMath>
        <m:r>
          <m:t>π</m:t>
        </m:r>
        <m:r>
          <m:rPr>
            <m:sty m:val="p"/>
          </m:rPr>
          <m:t>=</m:t>
        </m:r>
        <m:r>
          <m:t>0.051</m:t>
        </m:r>
      </m:oMath>
      <w:r>
        <w:rPr>
          <w:highlight w:val="yellow"/>
        </w:rPr>
        <w:t xml:space="preserve">. Gwet’s AC1 instead averaged 0.924, the divergence expected when one category is rare and raw agreement is already 93.2</w:t>
      </w:r>
      <w:r>
        <w:t xml:space="preserve">%</w:t>
      </w:r>
      <w:r>
        <w:rPr>
          <w:highlight w:val="yellow"/>
        </w:rPr>
        <w:t xml:space="preserve">, so the low-agreement reading rests on the direct counts above rather than on any single coefficient.</w:t>
      </w:r>
      <w:r>
        <w:t xml:space="preserve"> </w:t>
      </w:r>
      <w:r>
        <w:t xml:space="preserve">The dominant cross-model phenomenon was therefore not a common set of missed suspicious cases, but a large divergence in the aggressiveness with which legitimate activity was escalated.</w:t>
      </w:r>
    </w:p>
    <w:bookmarkEnd w:id="24"/>
    <w:bookmarkEnd w:id="25"/>
    <w:bookmarkStart w:id="28"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w:t>
      </w:r>
      <w:r>
        <w:t xml:space="preserve"> </w:t>
      </w:r>
      <w:r>
        <w:rPr>
          <w:strike/>
        </w:rPr>
        <w:t xml:space="preserve">0.3% and 83.0</w:t>
      </w:r>
      <w:r>
        <w:t xml:space="preserve"> </w:t>
      </w:r>
      <w:r>
        <w:rPr>
          <w:highlight w:val="yellow"/>
        </w:rPr>
        <w:t xml:space="preserve">2.3</w:t>
      </w:r>
      <w:r>
        <w:t xml:space="preserve">%</w:t>
      </w:r>
      <w:r>
        <w:t xml:space="preserve"> </w:t>
      </w:r>
      <w:r>
        <w:rPr>
          <w:highlight w:val="yellow"/>
        </w:rPr>
        <w:t xml:space="preserve">and 85.7</w:t>
      </w:r>
      <w:r>
        <w:t xml:space="preserve">% on the same legitimate cases, and the models disagreed on</w:t>
      </w:r>
      <w:r>
        <w:t xml:space="preserve"> </w:t>
      </w:r>
      <w:r>
        <w:rPr>
          <w:strike/>
        </w:rPr>
        <w:t xml:space="preserve">85.7</w:t>
      </w:r>
      <w:r>
        <w:t xml:space="preserve"> </w:t>
      </w:r>
      <w:r>
        <w:rPr>
          <w:highlight w:val="yellow"/>
        </w:rPr>
        <w:t xml:space="preserve">88.7</w:t>
      </w:r>
      <w:r>
        <w:t xml:space="preserve">%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w:t>
      </w:r>
      <w:r>
        <w:t xml:space="preserve"> </w:t>
      </w:r>
      <w:r>
        <w:rPr>
          <w:strike/>
        </w:rPr>
        <w:t xml:space="preserve">83</w:t>
      </w:r>
      <w:r>
        <w:t xml:space="preserve"> </w:t>
      </w:r>
      <w:r>
        <w:rPr>
          <w:highlight w:val="yellow"/>
        </w:rPr>
        <w:t xml:space="preserve">86</w:t>
      </w:r>
      <w:r>
        <w:t xml:space="preserve">%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w:t>
      </w:r>
      <w:r>
        <w:t xml:space="preserve"> </w:t>
      </w:r>
      <w:r>
        <w:rPr>
          <w:strike/>
        </w:rPr>
        <w:t xml:space="preserve">an approximately 197-fold</w:t>
      </w:r>
      <w:r>
        <w:t xml:space="preserve"> </w:t>
      </w:r>
      <w:r>
        <w:rPr>
          <w:highlight w:val="yellow"/>
        </w:rPr>
        <w:t xml:space="preserve">a 36- to 196-fold</w:t>
      </w:r>
      <w:r>
        <w:t xml:space="preserve"> </w:t>
      </w:r>
      <w:r>
        <w:t xml:space="preserve">change in expected daily alert</w:t>
      </w:r>
      <w:r>
        <w:t xml:space="preserve"> </w:t>
      </w:r>
      <w:r>
        <w:rPr>
          <w:strike/>
        </w:rPr>
        <w:t xml:space="preserve">volume.</w:t>
      </w:r>
      <w:r>
        <w:t xml:space="preserve"> </w:t>
      </w:r>
      <w:r>
        <w:rPr>
          <w:highlight w:val="yellow"/>
        </w:rPr>
        <w:t xml:space="preserve">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w:t>
      </w:r>
      <w:r>
        <w:t xml:space="preserve"> </w:t>
      </w:r>
      <w:r>
        <w:t xml:space="preserve">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rPr>
          <w:highlight w:val="yellow"/>
        </w:rP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What the data show is that the ordering of the models persists across both prompt formulations and all four single-call configurations, with the spread between 80.3 and 85.3 percentage points in every one, which is more stability than a simple threshold shift would predict. This is not a demonstration that score-level calibration could not compress the spread;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broader AI-governance frameworks and regulation provide additional governance expectations for AI systems [6,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practical control follows directly from the experimental design used here. Institutions could maintain a fixed, held-out, labelled operating-point probe of benign and suspicious cases that exemplify the screening behaviours they consider important. The probe could be re-run periodically and whenever a model version, provider configuration, prompt, or routing policy changes. False-positive and miss rates could then be logged alongside the model inventory and compared with predefined tolerances. Such a procedure would not replace production validation or continuous drift monitoring, but would address a different failure mode: a change in the model itself rather than a change in the incoming data.</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6" w:name="sec:probe"/>
    <w:p>
      <w:pPr>
        <w:pStyle w:val="Heading2"/>
      </w:pPr>
      <w:r>
        <w:rPr>
          <w:rStyle w:val="SectionNumber"/>
        </w:rPr>
        <w:t xml:space="preserve">4.1</w:t>
      </w:r>
      <w:r>
        <w:tab/>
      </w:r>
      <w:r>
        <w:rPr>
          <w:highlight w:val="yellow"/>
        </w:rPr>
        <w:t xml:space="preserve">An operating-point probe as a monitoring control</w:t>
      </w:r>
    </w:p>
    <w:p>
      <w:pPr>
        <w:pStyle w:val="FirstParagraph"/>
      </w:pPr>
      <w:r>
        <w:rPr>
          <w:highlight w:val="yellow"/>
        </w:rP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rPr>
          <w:highlight w:val="yellow"/>
        </w:rP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rPr>
          <w:highlight w:val="yellow"/>
        </w:rP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rPr>
          <w:highlight w:val="yellow"/>
        </w:rP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bookmarkEnd w:id="26"/>
    <w:bookmarkStart w:id="27" w:name="sec:limits"/>
    <w:p>
      <w:pPr>
        <w:pStyle w:val="Heading2"/>
      </w:pPr>
      <w:r>
        <w:rPr>
          <w:rStyle w:val="SectionNumber"/>
        </w:rPr>
        <w:t xml:space="preserve">4.2</w:t>
      </w:r>
      <w:r>
        <w:tab/>
      </w:r>
      <w:r>
        <w:rPr>
          <w:highlight w:val="yellow"/>
        </w:rP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w:t>
      </w:r>
      <w:r>
        <w:t xml:space="preserve"> </w:t>
      </w:r>
      <w:r>
        <w:rPr>
          <w:strike/>
        </w:rPr>
        <w:t xml:space="preserve">time.</w:t>
      </w:r>
      <w:r>
        <w:t xml:space="preserve"> </w:t>
      </w:r>
      <w:r>
        <w:rPr>
          <w:highlight w:val="yellow"/>
        </w:rPr>
        <w:t xml:space="preserve">time, and that set is the surviving part of a preregistered three-family grid, a third provider having been lost to credit exhaustion before the full run. A provider main effect therefore cannot be separated from the tier effect, and the paper’s</w:t>
      </w:r>
      <w:r>
        <w:rPr>
          <w:highlight w:val="yellow"/>
        </w:rPr>
        <w:t xml:space="preserve"> </w:t>
      </w:r>
      <w:r>
        <w:rPr>
          <w:highlight w:val="yellow"/>
        </w:rPr>
        <w:t xml:space="preserve">“foundation-model choice”</w:t>
      </w:r>
      <w:r>
        <w:rPr>
          <w:highlight w:val="yellow"/>
        </w:rPr>
        <w:t xml:space="preserve"> </w:t>
      </w:r>
      <w:r>
        <w:rPr>
          <w:highlight w:val="yellow"/>
        </w:rPr>
        <w:t xml:space="preserve">language should be read as scoped to the evaluated model set rather than as a claim about foundation models in general.</w:t>
      </w:r>
      <w:r>
        <w:t xml:space="preserve"> </w:t>
      </w:r>
      <w:r>
        <w:t xml:space="preserve">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rPr>
          <w:highlight w:val="yellow"/>
        </w:rP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rPr>
          <w:highlight w:val="yellow"/>
        </w:rPr>
        <w:t xml:space="preserve">A related limitation concerns the inference. Cochran’s</w:t>
      </w:r>
      <w:r>
        <w:t xml:space="preserve"> </w:t>
      </w:r>
      <m:oMath>
        <m:r>
          <m:t>Q</m:t>
        </m:r>
      </m:oMath>
      <w:r>
        <w:t xml:space="preserve"> </w:t>
      </w:r>
      <w:r>
        <w:rPr>
          <w:highlight w:val="yellow"/>
        </w:rPr>
        <w:t xml:space="preserve">and the exact McNemar test treat the 300 legitimate cases as exchangeable units, and cases drawn from a shared typology template are not independent. The cluster-level permutation test and the cluster-robust intervals reported in</w:t>
      </w:r>
      <w:r>
        <w:t xml:space="preserve"> </w:t>
      </w:r>
      <w:r>
        <w:t xml:space="preserve">Section </w:t>
      </w:r>
      <w:hyperlink w:anchor="sec:fpspread">
        <w:r>
          <w:rPr>
            <w:rStyle w:val="Hyperlink"/>
          </w:rPr>
          <w:t xml:space="preserve">3.1</w:t>
        </w:r>
      </w:hyperlink>
      <w:r>
        <w:t xml:space="preserve"> </w:t>
      </w:r>
      <w:r>
        <w:rPr>
          <w:highlight w:val="yellow"/>
        </w:rPr>
        <w:t xml:space="preserve">and</w:t>
      </w:r>
      <w:r>
        <w:t xml:space="preserve"> </w:t>
      </w:r>
      <w:r>
        <w:t xml:space="preserve">Section </w:t>
      </w:r>
      <w:hyperlink w:anchor="sec:tier">
        <w:r>
          <w:rPr>
            <w:rStyle w:val="Hyperlink"/>
          </w:rPr>
          <w:t xml:space="preserve">3.2</w:t>
        </w:r>
      </w:hyperlink>
      <w:r>
        <w:t xml:space="preserve"> </w:t>
      </w:r>
      <w:r>
        <w:rPr>
          <w:highlight w:val="yellow"/>
        </w:rPr>
        <w:t xml:space="preserve">are the safeguards against this, and they are materially wider than case-level inference would give; the case-level</w:t>
      </w:r>
      <w:r>
        <w:t xml:space="preserve"> </w:t>
      </w:r>
      <m:oMath>
        <m:r>
          <m:t>P</m:t>
        </m:r>
      </m:oMath>
      <w:r>
        <w:rPr>
          <w:highlight w:val="yellow"/>
        </w:rPr>
        <w:t xml:space="preserve">-values are retained only for comparability with the preregistered plan.</w:t>
      </w:r>
    </w:p>
    <w:p>
      <w:pPr>
        <w:pStyle w:val="BodyText"/>
      </w:pPr>
      <w:r>
        <w:rPr>
          <w:highlight w:val="yellow"/>
        </w:rPr>
        <w:t xml:space="preserve">The aggregation rule is a further qualification, and one that affected the submitted version of this paper. The analysis as first submitted deviated from preregistered</w:t>
      </w:r>
      <w:r>
        <w:t xml:space="preserve"> </w:t>
      </w:r>
      <w:r>
        <w:t xml:space="preserve">decision D4</w:t>
      </w:r>
      <w:r>
        <w:t xml:space="preserve"> </w:t>
      </w:r>
      <w:r>
        <w:rPr>
          <w:highlight w:val="yellow"/>
        </w:rPr>
        <w:t xml:space="preserve">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w:t>
      </w:r>
      <w:r>
        <w:t xml:space="preserve"> </w:t>
      </w:r>
      <w:r>
        <w:t xml:space="preserve">(Table </w:t>
      </w:r>
      <w:hyperlink w:anchor="tab:agg">
        <w:r>
          <w:rPr>
            <w:rStyle w:val="Hyperlink"/>
          </w:rPr>
          <w:t xml:space="preserve">1</w:t>
        </w:r>
      </w:hyperlink>
      <w:r>
        <w:rPr>
          <w:highlight w:val="yellow"/>
        </w:rP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7"/>
    <w:bookmarkEnd w:id="28"/>
    <w:bookmarkStart w:id="34"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w:t>
      </w:r>
      <w:r>
        <w:t xml:space="preserve"> </w:t>
      </w:r>
      <w:r>
        <w:rPr>
          <w:strike/>
        </w:rPr>
        <w:t xml:space="preserve">0.3% to 83.0</w:t>
      </w:r>
      <w:r>
        <w:t xml:space="preserve"> </w:t>
      </w:r>
      <w:r>
        <w:rPr>
          <w:highlight w:val="yellow"/>
        </w:rPr>
        <w:t xml:space="preserve">2.3</w:t>
      </w:r>
      <w:r>
        <w:t xml:space="preserve">%</w:t>
      </w:r>
      <w:r>
        <w:t xml:space="preserve"> </w:t>
      </w:r>
      <w:r>
        <w:rPr>
          <w:highlight w:val="yellow"/>
        </w:rPr>
        <w:t xml:space="preserve">to 85.7</w:t>
      </w:r>
      <w:r>
        <w:t xml:space="preserve">% on the same legitimate cases, and</w:t>
      </w:r>
      <w:r>
        <w:t xml:space="preserve"> </w:t>
      </w:r>
      <w:r>
        <w:rPr>
          <w:strike/>
        </w:rPr>
        <w:t xml:space="preserve">85.7</w:t>
      </w:r>
      <w:r>
        <w:t xml:space="preserve"> </w:t>
      </w:r>
      <w:r>
        <w:rPr>
          <w:highlight w:val="yellow"/>
        </w:rPr>
        <w:t xml:space="preserve">88.7</w:t>
      </w:r>
      <w:r>
        <w:t xml:space="preserve">% of legitimate cases were not classified unanimously across models. In both</w:t>
      </w:r>
      <w:r>
        <w:t xml:space="preserve"> </w:t>
      </w:r>
      <w:r>
        <w:rPr>
          <w:strike/>
        </w:rPr>
        <w:t xml:space="preserve">provider families,</w:t>
      </w:r>
      <w:r>
        <w:t xml:space="preserve"> </w:t>
      </w:r>
      <w:r>
        <w:rPr>
          <w:highlight w:val="yellow"/>
        </w:rPr>
        <w:t xml:space="preserve">of the two provider families studied,</w:t>
      </w:r>
      <w:r>
        <w:t xml:space="preserve"> </w:t>
      </w:r>
      <w:r>
        <w:t xml:space="preserve">the lower-tier models had much higher false-positive rates than the more capable models, placing the models at very different points on the sensitivity–specificity trade-off.</w:t>
      </w:r>
      <w:r>
        <w:t xml:space="preserve"> </w:t>
      </w:r>
      <w:r>
        <w:rPr>
          <w:highlight w:val="yellow"/>
        </w:rPr>
        <w:t xml:space="preserve">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w:t>
      </w:r>
      <w:r>
        <w:t xml:space="preserve"> </w:t>
      </w:r>
      <w:r>
        <w:rPr>
          <w:strike/>
        </w:rPr>
        <w:t xml:space="preserve">about 197-fold.</w:t>
      </w:r>
      <w:r>
        <w:t xml:space="preserve"> </w:t>
      </w:r>
      <w:r>
        <w:rPr>
          <w:highlight w:val="yellow"/>
        </w:rPr>
        <w:t xml:space="preserve">36- to 196-fold across deployable configurations.</w:t>
      </w:r>
      <w:r>
        <w:t xml:space="preserve"> </w:t>
      </w:r>
      <w:r>
        <w:t xml:space="preserve">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9" w:name="tab:agg"/>
    <w:p>
      <w:pPr>
        <w:pStyle w:val="TableCaption"/>
      </w:pPr>
      <w:r>
        <w:t xml:space="preserve">[New in revision]</w:t>
      </w:r>
      <w:r>
        <w:t xml:space="preserve"> </w:t>
      </w: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rates exactly, which locates the effect of the deviation on the miss axis alone.</w:t>
      </w:r>
    </w:p>
    <w:tbl>
      <w:tblPr>
        <w:tblStyle w:val="Table"/>
        <w:tblW w:type="auto" w:w="0"/>
        <w:tblLook w:firstRow="1" w:lastRow="0" w:firstColumn="0" w:lastColumn="0" w:noHBand="0" w:noVBand="0" w:val="0020"/>
        <w:tblCaption w:val="[New in revision] 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rates exactly, which locates the effect of the deviation on the miss axis alone."/>
      </w:tblPr>
      <w:tblGrid>
        <w:gridCol w:w="1131"/>
        <w:gridCol w:w="1131"/>
        <w:gridCol w:w="1131"/>
        <w:gridCol w:w="1131"/>
        <w:gridCol w:w="1131"/>
        <w:gridCol w:w="1131"/>
        <w:gridCol w:w="1131"/>
      </w:tblGrid>
      <w:tr>
        <w:trPr>
          <w:tblHeader w:val="on"/>
        </w:trPr>
        <w:tc>
          <w:tcPr/>
          <w:p>
            <w:pPr>
              <w:pStyle w:val="Compact"/>
              <w:jc w:val="left"/>
            </w:pPr>
            <w:r>
              <w:rPr>
                <w:highlight w:val="yellow"/>
              </w:rPr>
              <w:t xml:space="preserve">Aggregation rule</w:t>
            </w:r>
          </w:p>
        </w:tc>
        <w:tc>
          <w:tcPr/>
          <w:p>
            <w:pPr>
              <w:pStyle w:val="Compact"/>
              <w:jc w:val="right"/>
            </w:pPr>
            <w:r>
              <w:rPr>
                <w:highlight w:val="yellow"/>
              </w:rPr>
              <w:t xml:space="preserve">G.</w:t>
            </w:r>
            <w:r>
              <w:t xml:space="preserve"> </w:t>
            </w:r>
            <w:r>
              <w:rPr>
                <w:highlight w:val="yellow"/>
              </w:rPr>
              <w:t xml:space="preserve">Flash</w:t>
            </w:r>
          </w:p>
        </w:tc>
        <w:tc>
          <w:tcPr/>
          <w:p>
            <w:pPr>
              <w:pStyle w:val="Compact"/>
              <w:jc w:val="right"/>
            </w:pPr>
            <w:r>
              <w:rPr>
                <w:highlight w:val="yellow"/>
              </w:rPr>
              <w:t xml:space="preserve">GPT-4o</w:t>
            </w:r>
          </w:p>
        </w:tc>
        <w:tc>
          <w:tcPr/>
          <w:p>
            <w:pPr>
              <w:pStyle w:val="Compact"/>
              <w:jc w:val="right"/>
            </w:pPr>
            <w:r>
              <w:rPr>
                <w:highlight w:val="yellow"/>
              </w:rPr>
              <w:t xml:space="preserve">4.1-mini</w:t>
            </w:r>
          </w:p>
        </w:tc>
        <w:tc>
          <w:tcPr/>
          <w:p>
            <w:pPr>
              <w:pStyle w:val="Compact"/>
              <w:jc w:val="right"/>
            </w:pPr>
            <w:r>
              <w:rPr>
                <w:highlight w:val="yellow"/>
              </w:rPr>
              <w:t xml:space="preserve">Flash-Lite</w:t>
            </w:r>
          </w:p>
        </w:tc>
        <w:tc>
          <w:tcPr/>
          <w:p>
            <w:pPr>
              <w:pStyle w:val="Compact"/>
              <w:jc w:val="right"/>
            </w:pPr>
            <w:r>
              <w:rPr>
                <w:highlight w:val="yellow"/>
              </w:rPr>
              <w:t xml:space="preserve">4o-mini</w:t>
            </w:r>
          </w:p>
        </w:tc>
        <w:tc>
          <w:tcPr/>
          <w:p>
            <w:pPr>
              <w:pStyle w:val="Compact"/>
              <w:jc w:val="right"/>
            </w:pPr>
            <w:r>
              <w:rPr>
                <w:highlight w:val="yellow"/>
              </w:rPr>
              <w:t xml:space="preserve">Spread</w:t>
            </w:r>
          </w:p>
        </w:tc>
      </w:tr>
      <w:tr>
        <w:tc>
          <w:tcPr/>
          <w:p>
            <w:pPr>
              <w:pStyle w:val="Compact"/>
              <w:jc w:val="left"/>
            </w:pPr>
            <w:r>
              <w:rPr>
                <w:highlight w:val="yellow"/>
              </w:rPr>
              <w:t xml:space="preserve">Ties to flag (preregistered D4, primary)</w:t>
            </w:r>
          </w:p>
        </w:tc>
        <w:tc>
          <w:tcPr/>
          <w:p>
            <w:pPr>
              <w:pStyle w:val="Compact"/>
              <w:jc w:val="right"/>
            </w:pPr>
            <w:r>
              <w:rPr>
                <w:highlight w:val="yellow"/>
              </w:rPr>
              <w:t xml:space="preserve">2.3</w:t>
            </w:r>
          </w:p>
        </w:tc>
        <w:tc>
          <w:tcPr/>
          <w:p>
            <w:pPr>
              <w:pStyle w:val="Compact"/>
              <w:jc w:val="right"/>
            </w:pPr>
            <w:r>
              <w:rPr>
                <w:highlight w:val="yellow"/>
              </w:rPr>
              <w:t xml:space="preserve">7.7</w:t>
            </w:r>
          </w:p>
        </w:tc>
        <w:tc>
          <w:tcPr/>
          <w:p>
            <w:pPr>
              <w:pStyle w:val="Compact"/>
              <w:jc w:val="right"/>
            </w:pPr>
            <w:r>
              <w:rPr>
                <w:highlight w:val="yellow"/>
              </w:rPr>
              <w:t xml:space="preserve">37.0</w:t>
            </w:r>
          </w:p>
        </w:tc>
        <w:tc>
          <w:tcPr/>
          <w:p>
            <w:pPr>
              <w:pStyle w:val="Compact"/>
              <w:jc w:val="right"/>
            </w:pPr>
            <w:r>
              <w:rPr>
                <w:highlight w:val="yellow"/>
              </w:rPr>
              <w:t xml:space="preserve">44.0</w:t>
            </w:r>
          </w:p>
        </w:tc>
        <w:tc>
          <w:tcPr/>
          <w:p>
            <w:pPr>
              <w:pStyle w:val="Compact"/>
              <w:jc w:val="right"/>
            </w:pPr>
            <w:r>
              <w:rPr>
                <w:highlight w:val="yellow"/>
              </w:rPr>
              <w:t xml:space="preserve">85.7</w:t>
            </w:r>
          </w:p>
        </w:tc>
        <w:tc>
          <w:tcPr/>
          <w:p>
            <w:pPr>
              <w:pStyle w:val="Compact"/>
              <w:jc w:val="right"/>
            </w:pPr>
            <w:r>
              <w:rPr>
                <w:highlight w:val="yellow"/>
              </w:rPr>
              <w:t xml:space="preserve">83.3</w:t>
            </w:r>
          </w:p>
        </w:tc>
      </w:tr>
      <w:tr>
        <w:tc>
          <w:tcPr/>
          <w:p>
            <w:pPr>
              <w:pStyle w:val="Compact"/>
              <w:jc w:val="left"/>
            </w:pPr>
            <w:r>
              <w:rPr>
                <w:highlight w:val="yellow"/>
              </w:rPr>
              <w:t xml:space="preserve">Ties to no flag (strict majority)</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r>
      <w:tr>
        <w:tc>
          <w:tcPr/>
          <w:p>
            <w:pPr>
              <w:pStyle w:val="Compact"/>
              <w:jc w:val="left"/>
            </w:pPr>
            <w:r>
              <w:rPr>
                <w:highlight w:val="yellow"/>
              </w:rPr>
              <w:t xml:space="preserve">Ties as abstentions (dropped)</w:t>
            </w:r>
          </w:p>
        </w:tc>
        <w:tc>
          <w:tcPr/>
          <w:p>
            <w:pPr>
              <w:pStyle w:val="Compact"/>
              <w:jc w:val="right"/>
            </w:pPr>
            <w:r>
              <w:rPr>
                <w:highlight w:val="yellow"/>
              </w:rPr>
              <w:t xml:space="preserve">0.3</w:t>
            </w:r>
          </w:p>
        </w:tc>
        <w:tc>
          <w:tcPr/>
          <w:p>
            <w:pPr>
              <w:pStyle w:val="Compact"/>
              <w:jc w:val="right"/>
            </w:pPr>
            <w:r>
              <w:rPr>
                <w:highlight w:val="yellow"/>
              </w:rPr>
              <w:t xml:space="preserve">1.1</w:t>
            </w:r>
          </w:p>
        </w:tc>
        <w:tc>
          <w:tcPr/>
          <w:p>
            <w:pPr>
              <w:pStyle w:val="Compact"/>
              <w:jc w:val="right"/>
            </w:pPr>
            <w:r>
              <w:rPr>
                <w:highlight w:val="yellow"/>
              </w:rPr>
              <w:t xml:space="preserve">27.3</w:t>
            </w:r>
          </w:p>
        </w:tc>
        <w:tc>
          <w:tcPr/>
          <w:p>
            <w:pPr>
              <w:pStyle w:val="Compact"/>
              <w:jc w:val="right"/>
            </w:pPr>
            <w:r>
              <w:rPr>
                <w:highlight w:val="yellow"/>
              </w:rPr>
              <w:t xml:space="preserve">30.6</w:t>
            </w:r>
          </w:p>
        </w:tc>
        <w:tc>
          <w:tcPr/>
          <w:p>
            <w:pPr>
              <w:pStyle w:val="Compact"/>
              <w:jc w:val="right"/>
            </w:pPr>
            <w:r>
              <w:rPr>
                <w:highlight w:val="yellow"/>
              </w:rPr>
              <w:t xml:space="preserve">85.3</w:t>
            </w:r>
          </w:p>
        </w:tc>
        <w:tc>
          <w:tcPr/>
          <w:p>
            <w:pPr>
              <w:pStyle w:val="Compact"/>
              <w:jc w:val="right"/>
            </w:pPr>
            <w:r>
              <w:rPr>
                <w:highlight w:val="yellow"/>
              </w:rPr>
              <w:t xml:space="preserve">84.9</w:t>
            </w:r>
          </w:p>
        </w:tc>
      </w:tr>
      <w:tr>
        <w:tc>
          <w:tcPr/>
          <w:p>
            <w:pPr>
              <w:pStyle w:val="Compact"/>
              <w:jc w:val="left"/>
            </w:pPr>
            <w:r>
              <w:rPr>
                <w:highlight w:val="yellow"/>
              </w:rPr>
              <w:t xml:space="preserve">Unanimity required to flag</w:t>
            </w:r>
          </w:p>
        </w:tc>
        <w:tc>
          <w:tcPr/>
          <w:p>
            <w:pPr>
              <w:pStyle w:val="Compact"/>
              <w:jc w:val="right"/>
            </w:pPr>
            <w:r>
              <w:rPr>
                <w:highlight w:val="yellow"/>
              </w:rPr>
              <w:t xml:space="preserve">0.3</w:t>
            </w:r>
          </w:p>
        </w:tc>
        <w:tc>
          <w:tcPr/>
          <w:p>
            <w:pPr>
              <w:pStyle w:val="Compact"/>
              <w:jc w:val="right"/>
            </w:pPr>
            <w:r>
              <w:rPr>
                <w:highlight w:val="yellow"/>
              </w:rPr>
              <w:t xml:space="preserve">0.3</w:t>
            </w:r>
          </w:p>
        </w:tc>
        <w:tc>
          <w:tcPr/>
          <w:p>
            <w:pPr>
              <w:pStyle w:val="Compact"/>
              <w:jc w:val="right"/>
            </w:pPr>
            <w:r>
              <w:rPr>
                <w:highlight w:val="yellow"/>
              </w:rPr>
              <w:t xml:space="preserve">20.3</w:t>
            </w:r>
          </w:p>
        </w:tc>
        <w:tc>
          <w:tcPr/>
          <w:p>
            <w:pPr>
              <w:pStyle w:val="Compact"/>
              <w:jc w:val="right"/>
            </w:pPr>
            <w:r>
              <w:rPr>
                <w:highlight w:val="yellow"/>
              </w:rPr>
              <w:t xml:space="preserve">24.7</w:t>
            </w:r>
          </w:p>
        </w:tc>
        <w:tc>
          <w:tcPr/>
          <w:p>
            <w:pPr>
              <w:pStyle w:val="Compact"/>
              <w:jc w:val="right"/>
            </w:pPr>
            <w:r>
              <w:rPr>
                <w:highlight w:val="yellow"/>
              </w:rPr>
              <w:t xml:space="preserve">78.0</w:t>
            </w:r>
          </w:p>
        </w:tc>
        <w:tc>
          <w:tcPr/>
          <w:p>
            <w:pPr>
              <w:pStyle w:val="Compact"/>
              <w:jc w:val="right"/>
            </w:pPr>
            <w:r>
              <w:rPr>
                <w:highlight w:val="yellow"/>
              </w:rPr>
              <w:t xml:space="preserve">77.7</w:t>
            </w:r>
          </w:p>
        </w:tc>
      </w:tr>
      <w:tr>
        <w:tc>
          <w:tcPr/>
          <w:p>
            <w:pPr>
              <w:pStyle w:val="Compact"/>
              <w:jc w:val="left"/>
            </w:pPr>
            <w:r>
              <w:rPr>
                <w:highlight w:val="yellow"/>
              </w:rPr>
              <w:t xml:space="preserve">Label-dependent (as submitted)</w:t>
            </w:r>
          </w:p>
        </w:tc>
        <w:tc>
          <w:tcPr/>
          <w:p>
            <w:pPr>
              <w:pStyle w:val="Compact"/>
              <w:jc w:val="right"/>
            </w:pPr>
            <w:r>
              <w:rPr>
                <w:highlight w:val="yellow"/>
              </w:rPr>
              <w:t xml:space="preserve">0.3</w:t>
            </w:r>
          </w:p>
        </w:tc>
        <w:tc>
          <w:tcPr/>
          <w:p>
            <w:pPr>
              <w:pStyle w:val="Compact"/>
              <w:jc w:val="right"/>
            </w:pPr>
            <w:r>
              <w:rPr>
                <w:highlight w:val="yellow"/>
              </w:rPr>
              <w:t xml:space="preserve">1.0</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83.0</w:t>
            </w:r>
          </w:p>
        </w:tc>
        <w:tc>
          <w:tcPr/>
          <w:p>
            <w:pPr>
              <w:pStyle w:val="Compact"/>
              <w:jc w:val="right"/>
            </w:pPr>
            <w:r>
              <w:rPr>
                <w:highlight w:val="yellow"/>
              </w:rPr>
              <w:t xml:space="preserve">82.7</w:t>
            </w:r>
          </w:p>
        </w:tc>
      </w:tr>
      <w:tr>
        <w:tc>
          <w:tcPr/>
          <w:p>
            <w:pPr>
              <w:pStyle w:val="Compact"/>
              <w:jc w:val="left"/>
            </w:pPr>
            <w:r>
              <w:rPr>
                <w:highlight w:val="yellow"/>
              </w:rPr>
              <w:t xml:space="preserve">Single call: FATF prompt seed 0</w:t>
            </w:r>
          </w:p>
        </w:tc>
        <w:tc>
          <w:tcPr/>
          <w:p>
            <w:pPr>
              <w:pStyle w:val="Compact"/>
              <w:jc w:val="right"/>
            </w:pPr>
            <w:r>
              <w:rPr>
                <w:highlight w:val="yellow"/>
              </w:rPr>
              <w:t xml:space="preserve">2.3</w:t>
            </w:r>
          </w:p>
        </w:tc>
        <w:tc>
          <w:tcPr/>
          <w:p>
            <w:pPr>
              <w:pStyle w:val="Compact"/>
              <w:jc w:val="right"/>
            </w:pPr>
            <w:r>
              <w:rPr>
                <w:highlight w:val="yellow"/>
              </w:rPr>
              <w:t xml:space="preserve">9.3</w:t>
            </w:r>
          </w:p>
        </w:tc>
        <w:tc>
          <w:tcPr/>
          <w:p>
            <w:pPr>
              <w:pStyle w:val="Compact"/>
              <w:jc w:val="right"/>
            </w:pPr>
            <w:r>
              <w:rPr>
                <w:highlight w:val="yellow"/>
              </w:rPr>
              <w:t xml:space="preserve">40.3</w:t>
            </w:r>
          </w:p>
        </w:tc>
        <w:tc>
          <w:tcPr/>
          <w:p>
            <w:pPr>
              <w:pStyle w:val="Compact"/>
              <w:jc w:val="right"/>
            </w:pPr>
            <w:r>
              <w:rPr>
                <w:highlight w:val="yellow"/>
              </w:rPr>
              <w:t xml:space="preserve">44.0</w:t>
            </w:r>
          </w:p>
        </w:tc>
        <w:tc>
          <w:tcPr/>
          <w:p>
            <w:pPr>
              <w:pStyle w:val="Compact"/>
              <w:jc w:val="right"/>
            </w:pPr>
            <w:r>
              <w:rPr>
                <w:highlight w:val="yellow"/>
              </w:rPr>
              <w:t xml:space="preserve">87.7</w:t>
            </w:r>
          </w:p>
        </w:tc>
        <w:tc>
          <w:tcPr/>
          <w:p>
            <w:pPr>
              <w:pStyle w:val="Compact"/>
              <w:jc w:val="right"/>
            </w:pPr>
            <w:r>
              <w:rPr>
                <w:highlight w:val="yellow"/>
              </w:rPr>
              <w:t xml:space="preserve">85.3</w:t>
            </w:r>
          </w:p>
        </w:tc>
      </w:tr>
      <w:tr>
        <w:tc>
          <w:tcPr/>
          <w:p>
            <w:pPr>
              <w:pStyle w:val="Compact"/>
              <w:jc w:val="left"/>
            </w:pPr>
            <w:r>
              <w:rPr>
                <w:highlight w:val="yellow"/>
              </w:rPr>
              <w:t xml:space="preserve">Single call: FATF prompt seed 1</w:t>
            </w:r>
          </w:p>
        </w:tc>
        <w:tc>
          <w:tcPr/>
          <w:p>
            <w:pPr>
              <w:pStyle w:val="Compact"/>
              <w:jc w:val="right"/>
            </w:pPr>
            <w:r>
              <w:rPr>
                <w:highlight w:val="yellow"/>
              </w:rPr>
              <w:t xml:space="preserve">2.3</w:t>
            </w:r>
          </w:p>
        </w:tc>
        <w:tc>
          <w:tcPr/>
          <w:p>
            <w:pPr>
              <w:pStyle w:val="Compact"/>
              <w:jc w:val="right"/>
            </w:pPr>
            <w:r>
              <w:rPr>
                <w:highlight w:val="yellow"/>
              </w:rPr>
              <w:t xml:space="preserve">8.0</w:t>
            </w:r>
          </w:p>
        </w:tc>
        <w:tc>
          <w:tcPr/>
          <w:p>
            <w:pPr>
              <w:pStyle w:val="Compact"/>
              <w:jc w:val="right"/>
            </w:pPr>
            <w:r>
              <w:rPr>
                <w:highlight w:val="yellow"/>
              </w:rPr>
              <w:t xml:space="preserve">39.0</w:t>
            </w:r>
          </w:p>
        </w:tc>
        <w:tc>
          <w:tcPr/>
          <w:p>
            <w:pPr>
              <w:pStyle w:val="Compact"/>
              <w:jc w:val="right"/>
            </w:pPr>
            <w:r>
              <w:rPr>
                <w:highlight w:val="yellow"/>
              </w:rPr>
              <w:t xml:space="preserve">44.0</w:t>
            </w:r>
          </w:p>
        </w:tc>
        <w:tc>
          <w:tcPr/>
          <w:p>
            <w:pPr>
              <w:pStyle w:val="Compact"/>
              <w:jc w:val="right"/>
            </w:pPr>
            <w:r>
              <w:rPr>
                <w:highlight w:val="yellow"/>
              </w:rPr>
              <w:t xml:space="preserve">87.3</w:t>
            </w:r>
          </w:p>
        </w:tc>
        <w:tc>
          <w:tcPr/>
          <w:p>
            <w:pPr>
              <w:pStyle w:val="Compact"/>
              <w:jc w:val="right"/>
            </w:pPr>
            <w:r>
              <w:rPr>
                <w:highlight w:val="yellow"/>
              </w:rPr>
              <w:t xml:space="preserve">85.0</w:t>
            </w:r>
          </w:p>
        </w:tc>
      </w:tr>
      <w:tr>
        <w:tc>
          <w:tcPr/>
          <w:p>
            <w:pPr>
              <w:pStyle w:val="Compact"/>
              <w:jc w:val="left"/>
            </w:pPr>
            <w:r>
              <w:rPr>
                <w:highlight w:val="yellow"/>
              </w:rPr>
              <w:t xml:space="preserve">Single call: terse prompt seed 0</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23.7</w:t>
            </w:r>
          </w:p>
        </w:tc>
        <w:tc>
          <w:tcPr/>
          <w:p>
            <w:pPr>
              <w:pStyle w:val="Compact"/>
              <w:jc w:val="right"/>
            </w:pPr>
            <w:r>
              <w:rPr>
                <w:highlight w:val="yellow"/>
              </w:rPr>
              <w:t xml:space="preserve">24.7</w:t>
            </w:r>
          </w:p>
        </w:tc>
        <w:tc>
          <w:tcPr/>
          <w:p>
            <w:pPr>
              <w:pStyle w:val="Compact"/>
              <w:jc w:val="right"/>
            </w:pPr>
            <w:r>
              <w:rPr>
                <w:highlight w:val="yellow"/>
              </w:rPr>
              <w:t xml:space="preserve">80.7</w:t>
            </w:r>
          </w:p>
        </w:tc>
        <w:tc>
          <w:tcPr/>
          <w:p>
            <w:pPr>
              <w:pStyle w:val="Compact"/>
              <w:jc w:val="right"/>
            </w:pPr>
            <w:r>
              <w:rPr>
                <w:highlight w:val="yellow"/>
              </w:rPr>
              <w:t xml:space="preserve">80.3</w:t>
            </w:r>
          </w:p>
        </w:tc>
      </w:tr>
      <w:tr>
        <w:tc>
          <w:tcPr/>
          <w:p>
            <w:pPr>
              <w:pStyle w:val="Compact"/>
              <w:jc w:val="left"/>
            </w:pPr>
            <w:r>
              <w:rPr>
                <w:highlight w:val="yellow"/>
              </w:rPr>
              <w:t xml:space="preserve">Single call: terse prompt seed 1</w:t>
            </w:r>
          </w:p>
        </w:tc>
        <w:tc>
          <w:tcPr/>
          <w:p>
            <w:pPr>
              <w:pStyle w:val="Compact"/>
              <w:jc w:val="right"/>
            </w:pPr>
            <w:r>
              <w:rPr>
                <w:highlight w:val="yellow"/>
              </w:rPr>
              <w:t xml:space="preserve">0.3</w:t>
            </w:r>
          </w:p>
        </w:tc>
        <w:tc>
          <w:tcPr/>
          <w:p>
            <w:pPr>
              <w:pStyle w:val="Compact"/>
              <w:jc w:val="right"/>
            </w:pPr>
            <w:r>
              <w:rPr>
                <w:highlight w:val="yellow"/>
              </w:rPr>
              <w:t xml:space="preserve">0.7</w:t>
            </w:r>
          </w:p>
        </w:tc>
        <w:tc>
          <w:tcPr/>
          <w:p>
            <w:pPr>
              <w:pStyle w:val="Compact"/>
              <w:jc w:val="right"/>
            </w:pPr>
            <w:r>
              <w:rPr>
                <w:highlight w:val="yellow"/>
              </w:rPr>
              <w:t xml:space="preserve">21.0</w:t>
            </w:r>
          </w:p>
        </w:tc>
        <w:tc>
          <w:tcPr/>
          <w:p>
            <w:pPr>
              <w:pStyle w:val="Compact"/>
              <w:jc w:val="right"/>
            </w:pPr>
            <w:r>
              <w:rPr>
                <w:highlight w:val="yellow"/>
              </w:rPr>
              <w:t xml:space="preserve">24.7</w:t>
            </w:r>
          </w:p>
        </w:tc>
        <w:tc>
          <w:tcPr/>
          <w:p>
            <w:pPr>
              <w:pStyle w:val="Compact"/>
              <w:jc w:val="right"/>
            </w:pPr>
            <w:r>
              <w:rPr>
                <w:highlight w:val="yellow"/>
              </w:rPr>
              <w:t xml:space="preserve">81.7</w:t>
            </w:r>
          </w:p>
        </w:tc>
        <w:tc>
          <w:tcPr/>
          <w:p>
            <w:pPr>
              <w:pStyle w:val="Compact"/>
              <w:jc w:val="right"/>
            </w:pPr>
            <w:r>
              <w:rPr>
                <w:highlight w:val="yellow"/>
              </w:rPr>
              <w:t xml:space="preserve">81.3</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9"/>
    <w:bookmarkStart w:id="33" w:name="fig:sweep"/>
    <w:p>
      <w:pPr>
        <w:pStyle w:val="CaptionedFigure"/>
      </w:pPr>
      <w:r>
        <w:drawing>
          <wp:inline>
            <wp:extent cx="5067300" cy="2737586"/>
            <wp:effectExtent b="0" l="0" r="0" t="0"/>
            <wp:docPr descr="" title="" id="31" name="Picture"/>
            <a:graphic>
              <a:graphicData uri="http://schemas.openxmlformats.org/drawingml/2006/picture">
                <pic:pic>
                  <pic:nvPicPr>
                    <pic:cNvPr descr="fig6_prevalence_sweep.png" id="32" name="Picture"/>
                    <pic:cNvPicPr>
                      <a:picLocks noChangeArrowheads="1" noChangeAspect="1"/>
                    </pic:cNvPicPr>
                  </pic:nvPicPr>
                  <pic:blipFill>
                    <a:blip r:embed="rId30"/>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t xml:space="preserve">[New in revision]</w:t>
      </w:r>
      <w:r>
        <w:t xml:space="preserve"> </w:t>
      </w: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33"/>
    <w:bookmarkEnd w:id="34"/>
    <w:bookmarkStart w:id="59"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w:t>
      </w:r>
      <w:r>
        <w:t xml:space="preserve"> </w:t>
      </w:r>
      <w:r>
        <w:rPr>
          <w:strike/>
        </w:rPr>
        <w:t xml:space="preserve">Because preregistered decision D4 resolves exact splits with reference to the known case label, it is an evaluation aggregation rule rather than a deployable screening rule;</w:t>
      </w:r>
      <w:r>
        <w:t xml:space="preserve"> </w:t>
      </w:r>
      <w:r>
        <w:rPr>
          <w:highlight w:val="yellow"/>
        </w:rPr>
        <w:t xml:space="preserve">D4 resolves an exact split toward</w:t>
      </w:r>
      <w:r>
        <w:t xml:space="preserve"> </w:t>
      </w:r>
      <w:r>
        <w:rPr>
          <w:rStyle w:val="VerbatimChar"/>
        </w:rPr>
        <w:t xml:space="preserve">flag</w:t>
      </w:r>
      <w:r>
        <w:t xml:space="preserve"> </w:t>
      </w:r>
      <w:r>
        <w:rPr>
          <w:highlight w:val="yellow"/>
        </w:rPr>
        <w:t xml:space="preserve">and does not consult the known case label;</w:t>
      </w:r>
      <w:r>
        <w:t xml:space="preserve"> </w:t>
      </w:r>
      <w:r>
        <w:t xml:space="preserve">it was fixed before the full evaluation and</w:t>
      </w:r>
      <w:r>
        <w:t xml:space="preserve"> </w:t>
      </w:r>
      <w:r>
        <w:rPr>
          <w:strike/>
        </w:rPr>
        <w:t xml:space="preserve">applied identically across models.</w:t>
      </w:r>
      <w:r>
        <w:t xml:space="preserve"> </w:t>
      </w:r>
      <w:r>
        <w:rPr>
          <w:highlight w:val="yellow"/>
        </w:rPr>
        <w:t xml:space="preserve">is applied identically to legitimate and suspicious cases and to every model. The analysis submitted for review deviated from D4 on the legitimate-case branch, where it required a strict majority; that deviation and its effect on every affected number are set out in</w:t>
      </w:r>
      <w:r>
        <w:t xml:space="preserve"> </w:t>
      </w:r>
      <w:r>
        <w:t xml:space="preserve">Section </w:t>
      </w:r>
      <w:hyperlink w:anchor="sec:agg">
        <w:r>
          <w:rPr>
            <w:rStyle w:val="Hyperlink"/>
          </w:rPr>
          <w:t xml:space="preserve">2.3</w:t>
        </w:r>
      </w:hyperlink>
      <w:r>
        <w:t xml:space="preserve"> </w:t>
      </w:r>
      <w:r>
        <w:rPr>
          <w:highlight w:val="yellow"/>
        </w:rPr>
        <w:t xml:space="preserve">and</w:t>
      </w:r>
      <w:r>
        <w:t xml:space="preserve"> </w:t>
      </w:r>
      <w:r>
        <w:t xml:space="preserve">Table </w:t>
      </w:r>
      <w:hyperlink w:anchor="tab:agg">
        <w:r>
          <w:rPr>
            <w:rStyle w:val="Hyperlink"/>
          </w:rPr>
          <w:t xml:space="preserve">1</w:t>
        </w:r>
      </w:hyperlink>
      <w:r>
        <w:rPr>
          <w:highlight w:val="yellow"/>
        </w:rPr>
        <w:t xml:space="preserve">. Even under D4 the four-call aggregate remains an evaluation construct rather than a deployable screening configuration, because a deployed screener issues one call per transaction; the deployable single-call configurations are reported in</w:t>
      </w:r>
      <w:r>
        <w:t xml:space="preserve"> </w:t>
      </w:r>
      <w:r>
        <w:t xml:space="preserve">Table </w:t>
      </w:r>
      <w:hyperlink w:anchor="tab:agg">
        <w:r>
          <w:rPr>
            <w:rStyle w:val="Hyperlink"/>
          </w:rPr>
          <w:t xml:space="preserve">1</w:t>
        </w:r>
      </w:hyperlink>
      <w:r>
        <w:rPr>
          <w:highlight w:val="yellow"/>
        </w:rPr>
        <w:t xml:space="preserve">.</w:t>
      </w:r>
    </w:p>
    <w:bookmarkStart w:id="38" w:name="fig:fp"/>
    <w:p>
      <w:pPr>
        <w:pStyle w:val="CaptionedFigure"/>
      </w:pPr>
      <w:r>
        <w:drawing>
          <wp:inline>
            <wp:extent cx="3840480" cy="2416403"/>
            <wp:effectExtent b="0" l="0" r="0" t="0"/>
            <wp:docPr descr="" title="" id="36" name="Picture"/>
            <a:graphic>
              <a:graphicData uri="http://schemas.openxmlformats.org/drawingml/2006/picture">
                <pic:pic>
                  <pic:nvPicPr>
                    <pic:cNvPr descr="fig1_fp_by_model.png" id="37" name="Picture"/>
                    <pic:cNvPicPr>
                      <a:picLocks noChangeArrowheads="1" noChangeAspect="1"/>
                    </pic:cNvPicPr>
                  </pic:nvPicPr>
                  <pic:blipFill>
                    <a:blip r:embed="rId35"/>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117.0</m:t>
        </m:r>
      </m:oMath>
      <w:r>
        <w:t xml:space="preserve">, degrees of freedom</w:t>
      </w:r>
      <w:r>
        <w:t xml:space="preserve"> </w:t>
      </w:r>
      <m:oMath>
        <m:r>
          <m:rPr>
            <m:sty m:val="p"/>
          </m:rPr>
          <m:t>=</m:t>
        </m:r>
        <m:r>
          <m:t>4</m:t>
        </m:r>
      </m:oMath>
      <w:r>
        <w:t xml:space="preserve">,</w:t>
      </w:r>
      <w:r>
        <w:t xml:space="preserve"> </w:t>
      </w:r>
      <m:oMath>
        <m:r>
          <m:t>P</m:t>
        </m:r>
        <m:r>
          <m:rPr>
            <m:sty m:val="p"/>
          </m:rPr>
          <m:t>≈</m:t>
        </m:r>
        <m:r>
          <m:t>2.3</m:t>
        </m:r>
        <m:r>
          <m:rPr>
            <m:sty m:val="p"/>
          </m:rPr>
          <m:t>×</m:t>
        </m:r>
        <m:sSup>
          <m:e>
            <m:r>
              <m:t>10</m:t>
            </m:r>
          </m:e>
          <m:sup>
            <m:r>
              <m:rPr>
                <m:sty m:val="p"/>
              </m:rPr>
              <m:t>−</m:t>
            </m:r>
            <m:r>
              <m:t>24</m:t>
            </m:r>
          </m:sup>
        </m:sSup>
      </m:oMath>
      <w:r>
        <w:t xml:space="preserve">)</w:t>
      </w:r>
    </w:p>
    <w:bookmarkEnd w:id="38"/>
    <w:bookmarkStart w:id="42" w:name="fig:ops"/>
    <w:p>
      <w:pPr>
        <w:pStyle w:val="CaptionedFigure"/>
      </w:pPr>
      <w:r>
        <w:drawing>
          <wp:inline>
            <wp:extent cx="3307080" cy="2613081"/>
            <wp:effectExtent b="0" l="0" r="0" t="0"/>
            <wp:docPr descr="" title="" id="40" name="Picture"/>
            <a:graphic>
              <a:graphicData uri="http://schemas.openxmlformats.org/drawingml/2006/picture">
                <pic:pic>
                  <pic:nvPicPr>
                    <pic:cNvPr descr="fig2_operating_points.png" id="41" name="Picture"/>
                    <pic:cNvPicPr>
                      <a:picLocks noChangeArrowheads="1" noChangeAspect="1"/>
                    </pic:cNvPicPr>
                  </pic:nvPicPr>
                  <pic:blipFill>
                    <a:blip r:embed="rId39"/>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supervised classifier). Within each provider in the evaluated model set, the more capable model is consistently associated with a lower false-positive rate</w:t>
      </w:r>
    </w:p>
    <w:bookmarkEnd w:id="42"/>
    <w:bookmarkStart w:id="46" w:name="fig:vol"/>
    <w:p>
      <w:pPr>
        <w:pStyle w:val="CaptionedFigure"/>
      </w:pPr>
      <w:r>
        <w:drawing>
          <wp:inline>
            <wp:extent cx="3840480" cy="2425198"/>
            <wp:effectExtent b="0" l="0" r="0" t="0"/>
            <wp:docPr descr="" title="" id="44" name="Picture"/>
            <a:graphic>
              <a:graphicData uri="http://schemas.openxmlformats.org/drawingml/2006/picture">
                <pic:pic>
                  <pic:nvPicPr>
                    <pic:cNvPr descr="fig3_alert_volume.png" id="45" name="Picture"/>
                    <pic:cNvPicPr>
                      <a:picLocks noChangeArrowheads="1" noChangeAspect="1"/>
                    </pic:cNvPicPr>
                  </pic:nvPicPr>
                  <pic:blipFill>
                    <a:blip r:embed="rId43"/>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t xml:space="preserve">[Revised in revision]</w:t>
      </w:r>
      <w:r>
        <w:t xml:space="preserve"> </w:t>
      </w: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6"/>
    <w:bookmarkStart w:id="50" w:name="fig:typ"/>
    <w:p>
      <w:pPr>
        <w:pStyle w:val="CaptionedFigure"/>
      </w:pPr>
      <w:r>
        <w:drawing>
          <wp:inline>
            <wp:extent cx="4000500" cy="2533991"/>
            <wp:effectExtent b="0" l="0" r="0" t="0"/>
            <wp:docPr descr="" title="" id="48" name="Picture"/>
            <a:graphic>
              <a:graphicData uri="http://schemas.openxmlformats.org/drawingml/2006/picture">
                <pic:pic>
                  <pic:nvPicPr>
                    <pic:cNvPr descr="fig4_typology_miss.png" id="49" name="Picture"/>
                    <pic:cNvPicPr>
                      <a:picLocks noChangeArrowheads="1" noChangeAspect="1"/>
                    </pic:cNvPicPr>
                  </pic:nvPicPr>
                  <pic:blipFill>
                    <a:blip r:embed="rId47"/>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error bars are 95% Wilson score confidence intervals. Trade-based laundering and cash-intensive fronts are missed substantially more often than structural typologies</w:t>
      </w:r>
    </w:p>
    <w:bookmarkEnd w:id="50"/>
    <w:bookmarkStart w:id="54" w:name="fig:heat"/>
    <w:p>
      <w:pPr>
        <w:pStyle w:val="CaptionedFigure"/>
      </w:pPr>
      <w:r>
        <w:drawing>
          <wp:inline>
            <wp:extent cx="3520440" cy="2365160"/>
            <wp:effectExtent b="0" l="0" r="0" t="0"/>
            <wp:docPr descr="" title="" id="52" name="Picture"/>
            <a:graphic>
              <a:graphicData uri="http://schemas.openxmlformats.org/drawingml/2006/picture">
                <pic:pic>
                  <pic:nvPicPr>
                    <pic:cNvPr descr="fig5_typology_model_heatmap.png" id="53" name="Picture"/>
                    <pic:cNvPicPr>
                      <a:picLocks noChangeArrowheads="1" noChangeAspect="1"/>
                    </pic:cNvPicPr>
                  </pic:nvPicPr>
                  <pic:blipFill>
                    <a:blip r:embed="rId51"/>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3</w:t>
        </w:r>
      </w:hyperlink>
    </w:p>
    <w:bookmarkEnd w:id="54"/>
    <w:bookmarkStart w:id="55" w:name="tab:ops"/>
    <w:p>
      <w:pPr>
        <w:pStyle w:val="TableCaption"/>
      </w:pPr>
      <w:r>
        <w:t xml:space="preserve">[Revised in revision]</w:t>
      </w:r>
      <w:r>
        <w:t xml:space="preserve"> </w:t>
      </w:r>
      <w:r>
        <w:rPr>
          <w:b/>
          <w:bCs/>
        </w:rPr>
        <w:t xml:space="preserve">Per-model operating point on the identical 600-case battery.</w:t>
      </w:r>
      <w:r>
        <w:t xml:space="preserve"> </w:t>
      </w:r>
      <w:r>
        <w:t xml:space="preserve">Values are percentages with 95% Wilson score confidence intervals;</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Revised in revision] Per-model operating point on the identical 600-case battery. Values are percentages with 95% Wilson score confidence intervals;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mcnemar"/>
    <w:p>
      <w:pPr>
        <w:pStyle w:val="TableCaption"/>
      </w:pPr>
      <w:r>
        <w:t xml:space="preserve">[Revised in revision]</w:t>
      </w:r>
      <w:r>
        <w:t xml:space="preserve"> </w:t>
      </w:r>
      <w:r>
        <w:rPr>
          <w:b/>
          <w:bCs/>
        </w:rPr>
        <w:t xml:space="preserve">Pairwise comparison of false-positive rates.</w:t>
      </w:r>
      <w:r>
        <w:t xml:space="preserve"> </w:t>
      </w:r>
      <w:r>
        <w:t xml:space="preserve">McNemar’s exact (binomial) test on the 300 legitimate cases (same cases for all models);</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Revised in revision] Pairwise comparison of false-positive rates. McNemar’s exact (binomial) test on the 300 legitimate cases (same cases for all models);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l"/>
    <w:p>
      <w:pPr>
        <w:pStyle w:val="TableCaption"/>
      </w:pPr>
      <w:r>
        <w:t xml:space="preserve">[Revised in revision]</w:t>
      </w:r>
      <w:r>
        <w:t xml:space="preserve"> </w:t>
      </w: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Revised in revision] 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7"/>
    <w:p/>
    <w:bookmarkStart w:id="58" w:name="tab:vote"/>
    <w:p>
      <w:pPr>
        <w:pStyle w:val="TableCaption"/>
      </w:pPr>
      <w:r>
        <w:t xml:space="preserve">[Revised in revision]</w:t>
      </w:r>
      <w:r>
        <w:t xml:space="preserve"> </w:t>
      </w: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Revised in revision] 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giving 12</w:t>
            </w:r>
            <w:r>
              <w:t xml:space="preserve">,</w:t>
            </w:r>
            <w:r>
              <w:t xml:space="preserve">120 realized calls against 12</w:t>
            </w:r>
            <w:r>
              <w:t xml:space="preserve">,</w:t>
            </w:r>
            <w:r>
              <w:t xml:space="preserve">000 by design</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8"/>
    <w:p>
      <w:pPr>
        <w:pStyle w:val="BodyText"/>
      </w:pPr>
      <w:r>
        <w:t xml:space="preserve">Analyses used open-source software (Python, NumPy, scikit-learn, SciPy, Matplotlib); the authors thank the maintainers of these open-source projects.</w:t>
      </w:r>
    </w:p>
    <w:bookmarkEnd w:id="59"/>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60">
        <w:r>
          <w:rPr>
            <w:rStyle w:val="Hyperlink"/>
          </w:rPr>
          <w:t xml:space="preserve">https://github.com/samirrc2/ai-foundation-model-aml-false-positives</w:t>
        </w:r>
      </w:hyperlink>
      <w:r>
        <w:t xml:space="preserve"> </w:t>
      </w:r>
      <w:r>
        <w:t xml:space="preserve">(MIT licence); the repository root includes</w:t>
      </w:r>
      <w:r>
        <w:t xml:space="preserve"> </w:t>
      </w:r>
      <w:r>
        <w:rPr>
          <w:rStyle w:val="VerbatimChar"/>
        </w:rPr>
        <w:t xml:space="preserve">REPRODUCIBILITY_DOCUMENTATION.pdf</w:t>
      </w:r>
      <w:r>
        <w:t xml:space="preserve">, a section-by-section guide to every input, script, and output and to the one-command offline reproduction. Within the repository’s reproducibility capsule (</w:t>
      </w:r>
      <w:r>
        <w:rPr>
          <w:rStyle w:val="VerbatimChar"/>
        </w:rPr>
        <w:t xml:space="preserve">capsule/</w:t>
      </w:r>
      <w:r>
        <w:t xml:space="preserve">), the</w:t>
      </w:r>
      <w:r>
        <w:t xml:space="preserve"> </w:t>
      </w:r>
      <w:r>
        <w:rPr>
          <w:rStyle w:val="VerbatimChar"/>
        </w:rPr>
        <w:t xml:space="preserve">data/</w:t>
      </w:r>
      <w:r>
        <w:t xml:space="preserve"> </w:t>
      </w:r>
      <w:r>
        <w:t xml:space="preserve">directory contains: the frozen 600-case battery (</w:t>
      </w:r>
      <w:r>
        <w:rPr>
          <w:rStyle w:val="VerbatimChar"/>
        </w:rPr>
        <w:t xml:space="preserve">data/battery/full.jsonl</w:t>
      </w:r>
      <w:r>
        <w:t xml:space="preserve">: 300 legitimate hard-negatives and 300 suspicious cases across eight FATF/SAML-D-anchored typologies;</w:t>
      </w:r>
      <w:r>
        <w:t xml:space="preserve"> </w:t>
      </w:r>
      <w:r>
        <w:rPr>
          <w:rStyle w:val="VerbatimChar"/>
        </w:rPr>
        <w:t xml:space="preserve">pilot.jsonl</w:t>
      </w:r>
      <w:r>
        <w:t xml:space="preserve"> </w:t>
      </w:r>
      <w:r>
        <w:t xml:space="preserve">is the seeded subsample); the complete 12,000-call response corpus (</w:t>
      </w:r>
      <w:r>
        <w:rPr>
          <w:rStyle w:val="VerbatimChar"/>
        </w:rPr>
        <w:t xml:space="preserve">data/capture/runs_full_&lt;model&gt;_&lt;variant&gt;.csv</w:t>
      </w:r>
      <w:r>
        <w:t xml:space="preserve">, ten files spanning five models</w:t>
      </w:r>
      <w:r>
        <w:t xml:space="preserve"> </w:t>
      </w:r>
      <m:oMath>
        <m:r>
          <m:rPr>
            <m:sty m:val="p"/>
          </m:rPr>
          <m:t>×</m:t>
        </m:r>
      </m:oMath>
      <w:r>
        <w:t xml:space="preserve"> </w:t>
      </w:r>
      <w:r>
        <w:t xml:space="preserve">two prompt variants</w:t>
      </w:r>
      <w:r>
        <w:t xml:space="preserve"> </w:t>
      </w:r>
      <m:oMath>
        <m:r>
          <m:rPr>
            <m:sty m:val="p"/>
          </m:rPr>
          <m:t>×</m:t>
        </m:r>
      </m:oMath>
      <w:r>
        <w:t xml:space="preserve"> </w:t>
      </w:r>
      <w:r>
        <w:t xml:space="preserve">two seeds</w:t>
      </w:r>
      <w:r>
        <w:t xml:space="preserve"> </w:t>
      </w:r>
      <m:oMath>
        <m:r>
          <m:rPr>
            <m:sty m:val="p"/>
          </m:rPr>
          <m:t>×</m:t>
        </m:r>
      </m:oMath>
      <w:r>
        <w:t xml:space="preserve"> </w:t>
      </w:r>
      <w:r>
        <w:t xml:space="preserve">600 cases, each row carrying the raw model JSON, the served-model identifier, token counts and per-call cost); the per-file SHA-256 freeze receipts (</w:t>
      </w:r>
      <w:r>
        <w:rPr>
          <w:rStyle w:val="VerbatimChar"/>
        </w:rPr>
        <w:t xml:space="preserve">data/frozen/*.freeze.json</w:t>
      </w:r>
      <w:r>
        <w:t xml:space="preserve">), which the analysis checks before running and refuses any file whose hash does not match; the battery specification, model registry and capture grid (</w:t>
      </w:r>
      <w:r>
        <w:rPr>
          <w:rStyle w:val="VerbatimChar"/>
        </w:rPr>
        <w:t xml:space="preserve">data/configs/</w:t>
      </w:r>
      <w:r>
        <w:t xml:space="preserve">); and the battery content hash (</w:t>
      </w:r>
      <w:r>
        <w:rPr>
          <w:rStyle w:val="VerbatimChar"/>
        </w:rPr>
        <w:t xml:space="preserve">data/manifest/battery_manifest.json</w:t>
      </w:r>
      <w:r>
        <w:t xml:space="preserve">). The frozen preregistration and its amendment/pivot history are in</w:t>
      </w:r>
      <w:r>
        <w:t xml:space="preserve"> </w:t>
      </w:r>
      <w:r>
        <w:rPr>
          <w:rStyle w:val="VerbatimChar"/>
        </w:rPr>
        <w:t xml:space="preserve">capsule/docs/</w:t>
      </w:r>
      <w:r>
        <w:t xml:space="preserve">, the deterministic analysis in</w:t>
      </w:r>
      <w:r>
        <w:t xml:space="preserve"> </w:t>
      </w:r>
      <w:r>
        <w:rPr>
          <w:rStyle w:val="VerbatimChar"/>
        </w:rPr>
        <w:t xml:space="preserve">capsule/code/</w:t>
      </w:r>
      <w:r>
        <w:t xml:space="preserve">, and pre-computed outputs in</w:t>
      </w:r>
      <w:r>
        <w:t xml:space="preserve"> </w:t>
      </w:r>
      <w:r>
        <w:rPr>
          <w:rStyle w:val="VerbatimChar"/>
        </w:rPr>
        <w:t xml:space="preserve">capsule/results/</w:t>
      </w:r>
      <w:r>
        <w:t xml:space="preserve"> </w:t>
      </w:r>
      <w:r>
        <w:t xml:space="preserve">(operating-point and alert-volume tables, per-model classification metrics, prompt-sensitivity, baselines, statistical tests, and</w:t>
      </w:r>
      <w:r>
        <w:t xml:space="preserve"> </w:t>
      </w:r>
      <w:r>
        <w:rPr>
          <w:rStyle w:val="VerbatimChar"/>
        </w:rPr>
        <w:t xml:space="preserve">pivot_claims.json</w:t>
      </w:r>
      <w:r>
        <w:t xml:space="preserve">, which pairs every reported number with its confidence interval and the configuration hash that produced it). Running</w:t>
      </w:r>
      <w:r>
        <w:t xml:space="preserve"> </w:t>
      </w:r>
      <w:r>
        <w:rPr>
          <w:rStyle w:val="VerbatimChar"/>
        </w:rPr>
        <w:t xml:space="preserve">capsule/reproduce.sh</w:t>
      </w:r>
      <w:r>
        <w:t xml:space="preserve"> </w:t>
      </w:r>
      <w:r>
        <w:t xml:space="preserve">regenerates every reported number, table and figure byte-identically, offline, with no API keys and at zero cost. The study uses only synthetic data: no human participants, no proprietary records, and no live model access are needed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60">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(synthetic data only;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30" Target="media/rId30.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2026-10-16T01:14:50Z</dcterms:created>
  <dcterms:modified xsi:type="dcterms:W3CDTF">2026-10-16T01:14:50Z</dcterms:modified>
</cp:coreProperties>
</file>

<file path=docProps/custom.xml><?xml version="1.0" encoding="utf-8"?>
<Properties xmlns="http://schemas.openxmlformats.org/officeDocument/2006/custom-properties" xmlns:vt="http://schemas.openxmlformats.org/officeDocument/2006/docPropsVTypes"/>
</file>