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case template are not independent, the same null was also tested by a permutation procedure that applies a single permutation of model labels to all cases within each of the eight case-template strata;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Because</w:t>
      </w:r>
      <w:r>
        <w:t xml:space="preserve"> </w:t>
      </w:r>
      <m:oMath>
        <m:r>
          <m:t>Q</m:t>
        </m:r>
      </m:oMath>
      <w:r>
        <w:t xml:space="preserve"> </w:t>
      </w:r>
      <w:r>
        <w:t xml:space="preserve">requires a decision from every model on every case, the abstention row is computed on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Because Q requires a decision from every model on every case, the abstention row is computed on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117.0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131.6</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80.4</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123.7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131.6</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117.6</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118.6</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127.4</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130.8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2026-10-16T16:43:57Z</dcterms:created>
  <dcterms:modified xsi:type="dcterms:W3CDTF">2026-10-16T16:43:57Z</dcterms:modified>
</cp:coreProperties>
</file>

<file path=docProps/custom.xml><?xml version="1.0" encoding="utf-8"?>
<Properties xmlns="http://schemas.openxmlformats.org/officeDocument/2006/custom-properties" xmlns:vt="http://schemas.openxmlformats.org/officeDocument/2006/docPropsVTypes"/>
</file>