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typology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[9, 39]. Our contribution is not the phenomenon but its first domain-specific,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w:t>
      </w:r>
    </w:p>
    <w:bookmarkEnd w:id="11"/>
    <w:bookmarkStart w:id="12" w:name="Xc4a3d29f5c03302f64052837ebb8bb0a41f0564"/>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w:t>
      </w:r>
      <w:r>
        <w:t xml:space="preserve"> </w:t>
      </w:r>
      <w:r>
        <w:rPr>
          <w:rStyle w:val="VerbatimChar"/>
        </w:rPr>
        <w:t xml:space="preserve">gemini-pro</w:t>
      </w:r>
      <w:r>
        <w:t xml:space="preserve"> </w:t>
      </w:r>
      <w:r>
        <w:t xml:space="preserve">was dropped for thinking-mode incompatibility and cost, and</w:t>
      </w:r>
      <w:r>
        <w:t xml:space="preserve"> </w:t>
      </w:r>
      <w:r>
        <w:rPr>
          <w:rStyle w:val="VerbatimChar"/>
        </w:rPr>
        <w:t xml:space="preserve">xai-grok</w:t>
      </w:r>
      <w:r>
        <w:t xml:space="preserve"> </w:t>
      </w:r>
      <w:r>
        <w:t xml:space="preserve">was dropped because the xAI account was out of credits before the full run. The final grid of five models from two providers is therefore the result of documented attrition rather than a two-provider design, and the loss of the third family is why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the ordering of the five models never changes.</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instead resolves ties by strict majority on both labels reproduces the submitted false-positive rates exactly, which locates the whole effect of the deviation on the miss axis, where miss rates rise from 12.0, 3.3, 3.7, 0.7 and 0.0% to 18.3, 8.3, 7.0, 2.0 and 0.0%.</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the eight typology strata are resampled as clusters and model labels are permuted within case, and the adjacent-tier contrasts are reported with cluster-robust bootstrap intervals over the same strata. Case-level</w:t>
      </w:r>
      <w:r>
        <w:t xml:space="preserve"> </w:t>
      </w:r>
      <m:oMath>
        <m:r>
          <m:t>P</m:t>
        </m:r>
      </m:oMath>
      <w: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typology strata) (Fig. </w:t>
      </w:r>
      <w:hyperlink w:anchor="fig:fp">
        <w:r>
          <w:rPr>
            <w:rStyle w:val="Hyperlink"/>
          </w:rPr>
          <w:t xml:space="preserve">2</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117.0</m:t>
        </m:r>
      </m:oMath>
      <w:r>
        <w:t xml:space="preserve">,</w:t>
      </w:r>
      <w:r>
        <w:t xml:space="preserve"> </w:t>
      </w:r>
      <m:oMath>
        <m:r>
          <m:rPr>
            <m:sty m:val="p"/>
          </m:rPr>
          <m:t>d</m:t>
        </m:r>
        <m:r>
          <m:rPr>
            <m:sty m:val="p"/>
          </m:rPr>
          <m:t>f</m:t>
        </m:r>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 Because cases generated from a shared typology template are not independent, the same null was also tested by a permutation procedure that resamples the eight typology strata as clusters;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3</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3</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4</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1</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A provider main effect therefore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typology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33"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rates exactly, which locates the effect of the deviation on the miss axis alone.</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rates exactly, which locates the effect of the deviation on the miss axis alone."/>
      </w:tblPr>
      <w:tblGrid>
        <w:gridCol w:w="1131"/>
        <w:gridCol w:w="1131"/>
        <w:gridCol w:w="1131"/>
        <w:gridCol w:w="1131"/>
        <w:gridCol w:w="1131"/>
        <w:gridCol w:w="1131"/>
        <w:gridCol w:w="1131"/>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Start w:id="32" w:name="fig:sweep"/>
    <w:p>
      <w:pPr>
        <w:pStyle w:val="CaptionedFigure"/>
      </w:pPr>
      <w:r>
        <w:drawing>
          <wp:inline>
            <wp:extent cx="5067300" cy="2737586"/>
            <wp:effectExtent b="0" l="0" r="0" t="0"/>
            <wp:docPr descr="" title="" id="30" name="Picture"/>
            <a:graphic>
              <a:graphicData uri="http://schemas.openxmlformats.org/drawingml/2006/picture">
                <pic:pic>
                  <pic:nvPicPr>
                    <pic:cNvPr descr="fig6_prevalence_sweep.png" id="31" name="Picture"/>
                    <pic:cNvPicPr>
                      <a:picLocks noChangeArrowheads="1" noChangeAspect="1"/>
                    </pic:cNvPicPr>
                  </pic:nvPicPr>
                  <pic:blipFill>
                    <a:blip r:embed="rId29"/>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32"/>
    <w:bookmarkEnd w:id="33"/>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7" w:name="fig:fp"/>
    <w:p>
      <w:pPr>
        <w:pStyle w:val="CaptionedFigure"/>
      </w:pPr>
      <w:r>
        <w:drawing>
          <wp:inline>
            <wp:extent cx="3840480" cy="2416403"/>
            <wp:effectExtent b="0" l="0" r="0" t="0"/>
            <wp:docPr descr="" title="" id="35" name="Picture"/>
            <a:graphic>
              <a:graphicData uri="http://schemas.openxmlformats.org/drawingml/2006/picture">
                <pic:pic>
                  <pic:nvPicPr>
                    <pic:cNvPr descr="fig1_fp_by_model.png" id="36" name="Picture"/>
                    <pic:cNvPicPr>
                      <a:picLocks noChangeArrowheads="1" noChangeAspect="1"/>
                    </pic:cNvPicPr>
                  </pic:nvPicPr>
                  <pic:blipFill>
                    <a:blip r:embed="rId34"/>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7"/>
    <w:bookmarkStart w:id="41" w:name="fig:ops"/>
    <w:p>
      <w:pPr>
        <w:pStyle w:val="CaptionedFigure"/>
      </w:pPr>
      <w:r>
        <w:drawing>
          <wp:inline>
            <wp:extent cx="3307080" cy="2613081"/>
            <wp:effectExtent b="0" l="0" r="0" t="0"/>
            <wp:docPr descr="" title="" id="39" name="Picture"/>
            <a:graphic>
              <a:graphicData uri="http://schemas.openxmlformats.org/drawingml/2006/picture">
                <pic:pic>
                  <pic:nvPicPr>
                    <pic:cNvPr descr="fig2_operating_points.png" id="40" name="Picture"/>
                    <pic:cNvPicPr>
                      <a:picLocks noChangeArrowheads="1" noChangeAspect="1"/>
                    </pic:cNvPicPr>
                  </pic:nvPicPr>
                  <pic:blipFill>
                    <a:blip r:embed="rId38"/>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41"/>
    <w:bookmarkStart w:id="45" w:name="fig:vol"/>
    <w:p>
      <w:pPr>
        <w:pStyle w:val="CaptionedFigure"/>
      </w:pPr>
      <w:r>
        <w:drawing>
          <wp:inline>
            <wp:extent cx="3840480" cy="2425198"/>
            <wp:effectExtent b="0" l="0" r="0" t="0"/>
            <wp:docPr descr="" title="" id="43" name="Picture"/>
            <a:graphic>
              <a:graphicData uri="http://schemas.openxmlformats.org/drawingml/2006/picture">
                <pic:pic>
                  <pic:nvPicPr>
                    <pic:cNvPr descr="fig3_alert_volume.png" id="44" name="Picture"/>
                    <pic:cNvPicPr>
                      <a:picLocks noChangeArrowheads="1" noChangeAspect="1"/>
                    </pic:cNvPicPr>
                  </pic:nvPicPr>
                  <pic:blipFill>
                    <a:blip r:embed="rId42"/>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3</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2026-10-16T00:40:38Z</dcterms:created>
  <dcterms:modified xsi:type="dcterms:W3CDTF">2026-10-16T00:40:38Z</dcterms:modified>
</cp:coreProperties>
</file>

<file path=docProps/custom.xml><?xml version="1.0" encoding="utf-8"?>
<Properties xmlns="http://schemas.openxmlformats.org/officeDocument/2006/custom-properties" xmlns:vt="http://schemas.openxmlformats.org/officeDocument/2006/docPropsVTypes"/>
</file>