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w:t>
      </w:r>
      <w:r>
        <w:t xml:space="preserve"> </w:t>
      </w:r>
      <w:r>
        <w:rPr>
          <w:strike/>
        </w:rPr>
        <w:t xml:space="preserve">The overall difference among the five models was highly significant when evaluated on the same legitimate cases as paired binary classifications (Cochran’s</w:t>
      </w:r>
      <w:r>
        <w:rPr>
          <w:strike/>
        </w:rP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rPr>
          <w:strike/>
        </w:rPr>
        <w:t xml:space="preserve">).</w:t>
      </w:r>
      <w:r>
        <w:t xml:space="preserve"> </w:t>
      </w:r>
      <w:r>
        <w:rPr>
          <w:highlight w:val="yellow"/>
        </w:rPr>
        <w:t xml:space="preserve">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2026-10-16T17:11:13Z</dcterms:created>
  <dcterms:modified xsi:type="dcterms:W3CDTF">2026-10-16T17:11:13Z</dcterms:modified>
</cp:coreProperties>
</file>

<file path=docProps/custom.xml><?xml version="1.0" encoding="utf-8"?>
<Properties xmlns="http://schemas.openxmlformats.org/officeDocument/2006/custom-properties" xmlns:vt="http://schemas.openxmlformats.org/officeDocument/2006/docPropsVTypes"/>
</file>