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w:t>
      </w:r>
      <w:r>
        <w:t xml:space="preserve"> </w:t>
      </w:r>
      <w:r>
        <w:rPr>
          <w:strike/>
        </w:rPr>
        <w:t xml:space="preserve">0.3% to 83.0%—an 82.7 percentage-point spread—and the models disagreed on 85.7</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 of legitimate cases. The differences were systematic: false-positive rates decreased monotonically with model tier within each</w:t>
      </w:r>
      <w:r>
        <w:t xml:space="preserve"> </w:t>
      </w:r>
      <w:r>
        <w:rPr>
          <w:strike/>
        </w:rPr>
        <w:t xml:space="preserve">provider family,</w:t>
      </w:r>
      <w:r>
        <w:t xml:space="preserve"> </w:t>
      </w:r>
      <w:r>
        <w:rPr>
          <w:highlight w:val="yellow"/>
        </w:rPr>
        <w:t xml:space="preserve">of the two provider families studied,</w:t>
      </w:r>
      <w:r>
        <w:t xml:space="preserve"> </w:t>
      </w:r>
      <w:r>
        <w:t xml:space="preserve">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w:t>
      </w:r>
      <w:r>
        <w:t xml:space="preserve"> </w:t>
      </w:r>
      <w:r>
        <w:rPr>
          <w:strike/>
        </w:rPr>
        <w:t xml:space="preserve">the observed operating points differed by about 200-fold in projected daily alert workload.</w:t>
      </w:r>
      <w:r>
        <w:t xml:space="preserve"> </w:t>
      </w:r>
      <w:r>
        <w:rPr>
          <w:highlight w:val="yellow"/>
        </w:rPr>
        <w:t xml:space="preserve">projected daily alert workload differed by 36- to 196-fold across the four deployable single-call configurations, and by about 35-fold under the preregistered per-case aggregate; the ordering of the models was invariant across prompts, seeds and prevalence.</w:t>
      </w:r>
      <w:r>
        <w:t xml:space="preserve"> </w:t>
      </w:r>
      <w:r>
        <w:t xml:space="preserve">These findings show that foundation-model choice is not merely an AML procurement or implementation decision but a core operational risk parameter. Because commercially accessed models may be updated, substituted, repriced or retired by providers,</w:t>
      </w:r>
      <w:r>
        <w:t xml:space="preserve"> </w:t>
      </w:r>
      <w:r>
        <w:rPr>
          <w:highlight w:val="yellow"/>
        </w:rPr>
        <w:t xml:space="preserve">model-tier substitution and provider-managed alias redirection should be treated as first-class model-risk events, and</w:t>
      </w:r>
      <w:r>
        <w:t xml:space="preserve"> </w:t>
      </w:r>
      <w:r>
        <w:t xml:space="preserve">model identity and operating-point stability should be explicitly incorporated into model-risk governance, validation and ongoing</w:t>
      </w:r>
      <w:r>
        <w:t xml:space="preserve"> </w:t>
      </w:r>
      <w:r>
        <w:rPr>
          <w:strike/>
        </w:rPr>
        <w:t xml:space="preserve">monitoring.</w:t>
      </w:r>
      <w:r>
        <w:t xml:space="preserve"> </w:t>
      </w:r>
      <w:r>
        <w:rPr>
          <w:highlight w:val="yellow"/>
        </w:rPr>
        <w:t xml:space="preserve">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The submitted false-positive rates are therefore attainable without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The Cochran’s</w:t>
      </w:r>
      <w:r>
        <w:t xml:space="preserve"> </w:t>
      </w:r>
      <m:oMath>
        <m:r>
          <m:t>Q</m:t>
        </m:r>
      </m:oMath>
      <w:r>
        <w:t xml:space="preserve"> </w:t>
      </w:r>
      <w:r>
        <w:rPr>
          <w:highlight w:val="yellow"/>
        </w:rPr>
        <w:t xml:space="preserve">statistics reported at submission omitted the factor</w:t>
      </w:r>
      <w:r>
        <w:t xml:space="preserve"> </w:t>
      </w:r>
      <m:oMath>
        <m:r>
          <m:t>k</m:t>
        </m:r>
      </m:oMath>
      <w:r>
        <w:t xml:space="preserve"> </w:t>
      </w:r>
      <w:r>
        <w:rPr>
          <w:highlight w:val="yellow"/>
        </w:rPr>
        <w:t xml:space="preserve">from the numerator and were understated fivefold; all</w:t>
      </w:r>
      <w:r>
        <w:t xml:space="preserve"> </w:t>
      </w:r>
      <m:oMath>
        <m:r>
          <m:t>Q</m:t>
        </m:r>
      </m:oMath>
      <w:r>
        <w:t xml:space="preserve"> </w:t>
      </w:r>
      <w:r>
        <w:rPr>
          <w:highlight w:val="yellow"/>
        </w:rP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 typology</w:t>
      </w:r>
      <w:r>
        <w:t xml:space="preserve"> </w:t>
      </w:r>
      <w:r>
        <w:rPr>
          <w:highlight w:val="yellow"/>
        </w:rPr>
        <w:t xml:space="preserve">71.8–93.7; cluster bootstrap over the eight case-template</w:t>
      </w:r>
      <w:r>
        <w:t xml:space="preserve"> </w:t>
      </w:r>
      <w:r>
        <w:t xml:space="preserve">strata) (Fig. </w:t>
      </w:r>
      <w:hyperlink w:anchor="fig:fp">
        <w:r>
          <w:rPr>
            <w:rStyle w:val="Hyperlink"/>
          </w:rPr>
          <w:t xml:space="preserve">1</w:t>
        </w:r>
      </w:hyperlink>
      <w:r>
        <w:t xml:space="preserve">; Table </w:t>
      </w:r>
      <w:hyperlink w:anchor="tab:ops">
        <w:r>
          <w:rPr>
            <w:rStyle w:val="Hyperlink"/>
          </w:rPr>
          <w:t xml:space="preserve">2</w:t>
        </w:r>
      </w:hyperlink>
      <w:r>
        <w:t xml:space="preserve">).</w:t>
      </w:r>
      <w:r>
        <w:t xml:space="preserve"> </w:t>
      </w:r>
      <w:r>
        <w:rPr>
          <w:strike/>
        </w:rPr>
        <w:t xml:space="preserve">The overall difference among the five models was highly significant when evaluated on the same legitimate cases as paired binary classifications (Cochran’s</w:t>
      </w:r>
      <w:r>
        <w:rPr>
          <w:strike/>
        </w:rP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rPr>
          <w:strike/>
        </w:rPr>
        <w:t xml:space="preserve">).</w:t>
      </w:r>
      <w:r>
        <w:t xml:space="preserve"> </w:t>
      </w:r>
      <w:r>
        <w:rPr>
          <w:highlight w:val="yellow"/>
        </w:rPr>
        <w:t xml:space="preserve">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w:t>
      </w:r>
      <w:r>
        <w:t xml:space="preserve"> </w:t>
      </w:r>
      <w:r>
        <w:t xml:space="preserve">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w:t>
      </w:r>
      <w:r>
        <w:t xml:space="preserve"> </w:t>
      </w:r>
      <w:r>
        <w:rPr>
          <w:strike/>
        </w:rPr>
        <w:t xml:space="preserve">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r>
        <w:t xml:space="preserve"> </w:t>
      </w:r>
      <w:r>
        <w:rPr>
          <w:strike/>
        </w:rPr>
        <w:t xml:space="preserve">A</w:t>
      </w:r>
      <w:r>
        <w:t xml:space="preserve"> </w:t>
      </w:r>
      <w:r>
        <w:t xml:space="preserve">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w:r>
              <w:rPr>
                <w:highlight w:val="yellow"/>
              </w:rPr>
              <w:t xml:space="preserve">Cochran’s</w:t>
            </w:r>
            <w:r>
              <w:t xml:space="preserve"> </w:t>
            </w:r>
            <m:oMath>
              <m:r>
                <m:t>Q</m:t>
              </m:r>
            </m:oMath>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w:t>
      </w:r>
      <w:r>
        <w:t xml:space="preserve"> </w:t>
      </w:r>
      <w:r>
        <w:rPr>
          <w:strike/>
        </w:rPr>
        <w:t xml:space="preserve">12,000-call response corpus</w:t>
      </w:r>
      <w:r>
        <w:t xml:space="preserve"> </w:t>
      </w:r>
      <w:r>
        <w:rPr>
          <w:highlight w:val="yellow"/>
        </w:rPr>
        <w:t xml:space="preserve">response corpus</w:t>
      </w:r>
      <w:r>
        <w:t xml:space="preserve"> </w:t>
      </w:r>
      <w:r>
        <w:t xml:space="preserve">(12</w:t>
      </w:r>
      <w:r>
        <w:t xml:space="preserve">,</w:t>
      </w:r>
      <w:r>
        <w:t xml:space="preserve">000</w:t>
      </w:r>
      <w:r>
        <w:t xml:space="preserve"> </w:t>
      </w:r>
      <w:r>
        <w:rPr>
          <w:highlight w:val="yellow"/>
        </w:rPr>
        <w:t xml:space="preserve">calls by design,</w:t>
      </w:r>
      <w:r>
        <w:t xml:space="preserve"> </w:t>
      </w:r>
      <w:r>
        <w:t xml:space="preserve">12</w:t>
      </w:r>
      <w:r>
        <w:t xml:space="preserve">,</w:t>
      </w:r>
      <w:r>
        <w:t xml:space="preserve">120</w:t>
      </w:r>
      <w:r>
        <w:t xml:space="preserve"> </w:t>
      </w:r>
      <w:r>
        <w:rPr>
          <w:highlight w:val="yellow"/>
        </w:rPr>
        <w:t xml:space="preserve">realized;</w:t>
      </w:r>
      <w:r>
        <w:t xml:space="preserve"> </w:t>
      </w:r>
      <w:r>
        <w:t xml:space="preserve">Section </w:t>
      </w:r>
      <w:hyperlink w:anchor="sec:design">
        <w:r>
          <w:rPr>
            <w:rStyle w:val="Hyperlink"/>
          </w:rPr>
          <w:t xml:space="preserve">2.2</w:t>
        </w:r>
      </w:hyperlink>
      <w:r>
        <w:rPr>
          <w:highlight w:val="yellow"/>
        </w:rPr>
        <w:t xml:space="preserve">)</w:t>
      </w:r>
      <w:r>
        <w:t xml:space="preserve"> </w:t>
      </w:r>
      <w:r>
        <w:t xml:space="preserve">(</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w:t>
      </w:r>
      <w:r>
        <w:t xml:space="preserve"> </w:t>
      </w:r>
      <w:r>
        <w:rPr>
          <w:strike/>
        </w:rPr>
        <w:t xml:space="preserve">identifier,</w:t>
      </w:r>
      <w:r>
        <w:t xml:space="preserve"> </w:t>
      </w:r>
      <w:r>
        <w:rPr>
          <w:highlight w:val="yellow"/>
        </w:rPr>
        <w:t xml:space="preserve">identifier (for the Google models, the alias string only),</w:t>
      </w:r>
      <w:r>
        <w:t xml:space="preserve"> </w:t>
      </w:r>
      <w:r>
        <w:t xml:space="preserve">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2026-10-16T17:30:54Z</dcterms:created>
  <dcterms:modified xsi:type="dcterms:W3CDTF">2026-10-16T17:30:54Z</dcterms:modified>
</cp:coreProperties>
</file>

<file path=docProps/custom.xml><?xml version="1.0" encoding="utf-8"?>
<Properties xmlns="http://schemas.openxmlformats.org/officeDocument/2006/custom-properties" xmlns:vt="http://schemas.openxmlformats.org/officeDocument/2006/docPropsVTypes"/>
</file>