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p>
      <w:pPr>
        <w:pStyle w:val="FirstParagraph"/>
      </w:pPr>
      <w:r>
        <w:rPr>
          <w:b/>
          <w:bCs/>
        </w:rPr>
        <w:t xml:space="preserve">Samir Chincholikar, Robin Chawla</w:t>
      </w:r>
    </w:p>
    <w:p>
      <w:pPr>
        <w:pStyle w:val="BodyText"/>
      </w:pPr>
      <w:r>
        <w:t xml:space="preserve">Independent Researcher</w:t>
      </w:r>
    </w:p>
    <w:p>
      <w:pPr>
        <w:pStyle w:val="BodyText"/>
      </w:pPr>
      <w:r>
        <w:t xml:space="preserve">Corresponding author: Robin Chawla (robin.chawla.cse14@iitbhu.ac.in)</w:t>
      </w:r>
    </w:p>
    <w:bookmarkStart w:id="9" w:name="abstract"/>
    <w:p>
      <w:pPr>
        <w:pStyle w:val="Heading1"/>
      </w:pPr>
      <w:r>
        <w:t xml:space="preserve">Abstract</w:t>
      </w:r>
    </w:p>
    <w:p>
      <w:pPr>
        <w:pStyle w:val="FirstParagraph"/>
      </w:pPr>
      <w:r>
        <w:t xml:space="preserve">Large language models (LLMs) are increasingly considered for anti-money laundering (AML) transaction screening, but the operational consequences of model choice are poorly quantified. We investigate how foundation-model selection affects the screening operating point when the task, cases and evaluation procedure are held fixed. Five off-the-shelf models from two providers were tested as zero-shot screeners on a preregistered, reproducible battery of 600 synthetic transaction cases anchored on established laundering typologies, half suspicious and half hard negatives. For the same 300 legitimate cases, false-positive rates ranged from 2.3% to 85.7%—an 83.3 percentage-point spread (95% confidence interval 71.8 to 93.7 points, cluster bootstrap over eight case template strata)—and the models disagreed on 88.7% of legitimate cases. Differences were systematic: rates decreased monotonically with model tier within both provider families studied, so lower-tier models over-flagged legitimate activity. The models occupied different points on the sensitivity–specificity trade-off, not merely different accuracy levels. In an illustrative scenario of one million daily transactions at 0.1% 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 not merely an AML procurement decision but a core operational risk parameter. Because commercially accessed models may be updated, substituted or retired by providers, model tier substitution and alias redirection should be treated as first-class model risk events, and operating point stability monitored through a standing probe.</w:t>
      </w:r>
    </w:p>
    <w:p>
      <w:pPr>
        <w:pStyle w:val="BodyText"/>
      </w:pPr>
      <w:r>
        <w:rPr>
          <w:b/>
          <w:bCs/>
        </w:rPr>
        <w:t xml:space="preserve">Keywords:</w:t>
      </w:r>
      <w:r>
        <w:t xml:space="preserve"> </w:t>
      </w:r>
      <w:r>
        <w:t xml:space="preserve">AML transaction screening, Large language models, AI model risk management, False-positive rates, AI foundation model governance, Financial crime detection</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 laundering (AML) monitoring [1, 10, 19, 22].</w:t>
      </w:r>
    </w:p>
    <w:p>
      <w:pPr>
        <w:pStyle w:val="BodyText"/>
      </w:pPr>
      <w:r>
        <w:t xml:space="preserve">Machine learning methods have been introduced into AML and related financial crime applications largely to improve this trade-off. Existing research in this domain includes supervised classifiers, ensemble methods, deep 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 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 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 distribution shift that a traditional drift 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 crime literature has focused on reducing false positives through class 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 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 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false-positive or miss rates in production,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We compare the models with deterministic rules and supervised machine learning baselines, and translate the measured operating points into an illustrative low-prevalence alert 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Model substitution as a governance event.</w:t>
      </w:r>
      <w:r>
        <w:t xml:space="preserve"> </w:t>
      </w:r>
      <w:r>
        <w:t xml:space="preserve">We treat model tier substitution and provider-managed</w:t>
      </w:r>
      <w:r>
        <w:t xml:space="preserve"> </w:t>
      </w:r>
      <w:r>
        <w:rPr>
          <w:rStyle w:val="VerbatimChar"/>
        </w:rPr>
        <w:t xml:space="preserve">-latest</w:t>
      </w:r>
      <w:r>
        <w:t xml:space="preserve"> </w:t>
      </w:r>
      <w:r>
        <w:t xml:space="preserve">alias redirection as first-class model risk events, and propose a standing operating 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 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false-positive or miss rates in production,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 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performance in production.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 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 template strata are used as clustering units for cluster-bootstrap confidence intervals and cluster-level permutation tests. Wilson score intervals for individual model proportions remain case-level intervals.</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sustained interface access for the full run could not be secured. The final grid of five models from two providers is therefore the result of documented attrition rather than a two-provider design, and, because tier is defined only within providers, a provider main effect cannot be separated from the tier effect.</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 Ties are not uniformly distributed: on legitimate cases they number 6, 20, 40, 58 and 8 for Gemini Flash, GPT-4o, GPT-4.1-mini, Gemini Flash-Lite and GPT-4o-mini respectively, and on suspicious cases 19, 15, 10, 4 and 0. They concentrate where a model sits near its own decision boundary, so the rule affects the middle of the distribution more than its extremes.</w:t>
      </w:r>
    </w:p>
    <w:p>
      <w:pPr>
        <w:pStyle w:val="BodyText"/>
      </w:pPr>
      <w:r>
        <w:t xml:space="preserve">Because the choice of rule is consequential, the results are reported under four further tie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label-dependent false-positive rates exactly but raises miss rates from 12.0, 3.3, 3.7, 0.7 and 0.0% to 18.3, 8.3, 7.0, 2.0 and 0.0%. Those rates are therefore attainable without reference to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 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All Cochran’s</w:t>
      </w:r>
      <w:r>
        <w:t xml:space="preserve"> </w:t>
      </w:r>
      <m:oMath>
        <m:r>
          <m:t>Q</m:t>
        </m:r>
      </m:oMath>
      <w:r>
        <w:t xml:space="preserve"> </w:t>
      </w:r>
      <w:r>
        <w:t xml:space="preserve">values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 template strata (cross-model spread and disagreement metrics), additional 95% percentile bootstrap confidence intervals were constructed via cluster resampling over the eight case 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 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 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 to 93.7, cluster bootstrap over the eight case 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 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 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 to 51.2), GPT-4.1-mini to GPT-4o-mini (3 and 149, 48.7 points, CI 25.8 to 72.5), and Gemini Flash to Gemini Flash-Lite (0 and 125, 41.7 points, CI 19.7 to 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 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 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In principle, model-specific threshold tuning could narrow the false-positive-rate spread, but models could still differ in the miss rates achieved at a common false-positive rate.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 risk guidance establishes inventory, validation and monitoring principles for covered vendor and third-party models, while noting that generative and agentic AI fall outside its formal scope [6]. Broader 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 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 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 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 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records from a production bank.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performance in production.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dropped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 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Results are reported under four further tie policies and each deployable single-call configuration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 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 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 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performance in production,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 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m:oMath>
              <m:r>
                <m:t>Q</m:t>
              </m:r>
            </m:oMath>
            <w:r>
              <w:t xml:space="preserve">​</w:t>
            </w:r>
          </w:p>
        </w:tc>
      </w:tr>
      <w:tr>
        <w:tc>
          <w:tcPr/>
          <w:p>
            <w:pPr>
              <w:pStyle w:val="Compact"/>
              <w:jc w:val="left"/>
            </w:pPr>
            <w:r>
              <w:t xml:space="preserve">Ties to flag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tie rule</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Results under alternative tie policies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 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 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 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under the MIT licence, and archived on Zenodo under the concept DOI</w:t>
      </w:r>
      <w:r>
        <w:t xml:space="preserve"> </w:t>
      </w:r>
      <w:hyperlink r:id="rId60">
        <w:r>
          <w:rPr>
            <w:rStyle w:val="Hyperlink"/>
          </w:rPr>
          <w:t xml:space="preserve">https://doi.org/10.5281/zenodo.23424852</w:t>
        </w:r>
      </w:hyperlink>
      <w:r>
        <w:t xml:space="preserve">, which resolves to the most recent version. The repository root includes</w:t>
      </w:r>
      <w:r>
        <w:t xml:space="preserve"> </w:t>
      </w:r>
      <w:r>
        <w:rPr>
          <w:rStyle w:val="VerbatimChar"/>
        </w:rPr>
        <w:t xml:space="preserve">REPRODUCIBILITY_DOCUMENTATION.pdf</w:t>
      </w:r>
      <w:r>
        <w:t xml:space="preserve">, a guide to every input, script and output and to the offline reproduction, which runs with one command. The study uses only synthetic transaction data. No human participants, proprietary records or live model access are required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The study uses synthetic data only, with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94"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4">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5">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6">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7">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8">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9">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0">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1">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2">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3">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4">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5">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6">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7">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8">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9">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0">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1">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2">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3">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4">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5">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6">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7">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8">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9">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0">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1">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2">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3">
        <w:r>
          <w:rPr>
            <w:rStyle w:val="Hyperlink"/>
          </w:rPr>
          <w:t xml:space="preserve">https://doi.org/10.1007/s44163-026-01283-3</w:t>
        </w:r>
      </w:hyperlink>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2026-10-21T01:18:49Z</dcterms:created>
  <dcterms:modified xsi:type="dcterms:W3CDTF">2026-10-21T01:18:49Z</dcterms:modified>
</cp:coreProperties>
</file>

<file path=docProps/custom.xml><?xml version="1.0" encoding="utf-8"?>
<Properties xmlns="http://schemas.openxmlformats.org/officeDocument/2006/custom-properties" xmlns:vt="http://schemas.openxmlformats.org/officeDocument/2006/docPropsVTypes"/>
</file>