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p>
      <w:pPr>
        <w:pStyle w:val="FirstParagraph"/>
      </w:pPr>
      <w:r>
        <w:rPr>
          <w:b/>
          <w:bCs/>
        </w:rPr>
        <w:t xml:space="preserve">Samir Chincholikar, Robin Chawla</w:t>
      </w:r>
    </w:p>
    <w:p>
      <w:pPr>
        <w:pStyle w:val="BodyText"/>
      </w:pPr>
      <w:r>
        <w:t xml:space="preserve">Independent Researcher</w:t>
      </w:r>
    </w:p>
    <w:p>
      <w:pPr>
        <w:pStyle w:val="BodyText"/>
      </w:pPr>
      <w:r>
        <w:t xml:space="preserve">Corresponding author: Robin Chawla (robin.chawla.cse14@iitbhu.ac.in)</w:t>
      </w:r>
    </w:p>
    <w:bookmarkStart w:id="9" w:name="abstract"/>
    <w:p>
      <w:pPr>
        <w:pStyle w:val="Heading1"/>
      </w:pPr>
      <w:r>
        <w:t xml:space="preserve">Abstract</w:t>
      </w:r>
    </w:p>
    <w:p>
      <w:pPr>
        <w:pStyle w:val="FirstParagraph"/>
      </w:pPr>
      <w:r>
        <w:t xml:space="preserve">Large language models (LLMs) are increasingly considered for</w:t>
      </w:r>
      <w:r>
        <w:t xml:space="preserve"> </w:t>
      </w:r>
      <w:r>
        <w:rPr>
          <w:strike/>
        </w:rPr>
        <w:t xml:space="preserve">anti-money-laundering</w:t>
      </w:r>
      <w:r>
        <w:t xml:space="preserve"> </w:t>
      </w:r>
      <w:r>
        <w:rPr>
          <w:highlight w:val="yellow"/>
        </w:rPr>
        <w:t xml:space="preserve">anti-money laundering</w:t>
      </w:r>
      <w:r>
        <w:t xml:space="preserve"> </w:t>
      </w:r>
      <w:r>
        <w:t xml:space="preserve">(AML) transaction screening, but the operational</w:t>
      </w:r>
      <w:r>
        <w:t xml:space="preserve"> </w:t>
      </w:r>
      <w:r>
        <w:rPr>
          <w:strike/>
        </w:rPr>
        <w:t xml:space="preserve">implications of choosing one foundation model over another are poorly quantified. This study investigates</w:t>
      </w:r>
      <w:r>
        <w:t xml:space="preserve"> </w:t>
      </w:r>
      <w:r>
        <w:rPr>
          <w:highlight w:val="yellow"/>
        </w:rPr>
        <w:t xml:space="preserve">consequences of model choice are poorly quantified. We investigate</w:t>
      </w:r>
      <w:r>
        <w:t xml:space="preserve"> </w:t>
      </w:r>
      <w:r>
        <w:t xml:space="preserve">how foundation-model selection affects the screening operating point</w:t>
      </w:r>
      <w:r>
        <w:t xml:space="preserve"> </w:t>
      </w:r>
      <w:r>
        <w:rPr>
          <w:strike/>
        </w:rPr>
        <w:t xml:space="preserve">for a fixed task, transaction cases and evaluation procedure. We tested five off-the-shelf foundation models from two providers as zero-shot AML screeners, using a preregistered, fully</w:t>
      </w:r>
      <w:r>
        <w:t xml:space="preserve"> </w:t>
      </w:r>
      <w:r>
        <w:rPr>
          <w:highlight w:val="yellow"/>
        </w:rPr>
        <w:t xml:space="preserve">when the task, cases and evaluation procedure are held fixed. Five off-the-shelf models from two providers were tested as zero-shot screeners on a preregistered,</w:t>
      </w:r>
      <w:r>
        <w:t xml:space="preserve"> </w:t>
      </w:r>
      <w:r>
        <w:t xml:space="preserve">reproducible battery of 600 synthetic transaction cases anchored on established laundering typologies,</w:t>
      </w:r>
      <w:r>
        <w:t xml:space="preserve"> </w:t>
      </w:r>
      <w:r>
        <w:rPr>
          <w:strike/>
        </w:rPr>
        <w:t xml:space="preserve">with equal numbers of suspicious cases and legitimate hard negatives designed to resemble common alert patterns.</w:t>
      </w:r>
      <w:r>
        <w:t xml:space="preserve"> </w:t>
      </w:r>
      <w:r>
        <w:rPr>
          <w:highlight w:val="yellow"/>
        </w:rPr>
        <w:t xml:space="preserve">half suspicious and half hard negatives.</w:t>
      </w:r>
      <w:r>
        <w:t xml:space="preserve"> </w:t>
      </w:r>
      <w:r>
        <w:t xml:space="preserve">For the same 300 legitimate cases, false-positive rates ranged from</w:t>
      </w:r>
      <w:r>
        <w:t xml:space="preserve"> </w:t>
      </w:r>
      <w:r>
        <w:rPr>
          <w:strike/>
        </w:rPr>
        <w:t xml:space="preserve">0.3% to 83.0%—an 82.7 percentage-point spread—and the models disagreed on 85.7% of legitimate cases. The differences were systematic: false-positive</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 template strata)—and the models disagreed on 88.7</w:t>
      </w:r>
      <w:r>
        <w:t xml:space="preserve">%</w:t>
      </w:r>
      <w:r>
        <w:t xml:space="preserve"> </w:t>
      </w:r>
      <w:r>
        <w:rPr>
          <w:highlight w:val="yellow"/>
        </w:rPr>
        <w:t xml:space="preserve">of legitimate cases. Differences were systematic:</w:t>
      </w:r>
      <w:r>
        <w:t xml:space="preserve"> </w:t>
      </w:r>
      <w:r>
        <w:t xml:space="preserve">rates decreased monotonically with model tier within</w:t>
      </w:r>
      <w:r>
        <w:t xml:space="preserve"> </w:t>
      </w:r>
      <w:r>
        <w:rPr>
          <w:strike/>
        </w:rPr>
        <w:t xml:space="preserve">each provider family, so that smaller, lower-tier models substantially over-flagged legitimate activity relative to their more capable counterparts. The models therefore occupied quite different points along</w:t>
      </w:r>
      <w:r>
        <w:t xml:space="preserve"> </w:t>
      </w:r>
      <w:r>
        <w:rPr>
          <w:highlight w:val="yellow"/>
        </w:rPr>
        <w:t xml:space="preserve">both provider families studied, so lower-tier models over-flagged legitimate activity. The models occupied different points on</w:t>
      </w:r>
      <w:r>
        <w:t xml:space="preserve"> </w:t>
      </w:r>
      <w:r>
        <w:t xml:space="preserve">the sensitivity–specificity trade-off, not merely different</w:t>
      </w:r>
      <w:r>
        <w:t xml:space="preserve"> </w:t>
      </w:r>
      <w:r>
        <w:rPr>
          <w:strike/>
        </w:rPr>
        <w:t xml:space="preserve">levels of accuracy. In an illustrative low-prevalence scenario of one million transactions per day, the observed operating points differed by about 200-fold in projected daily alert workload. These findings show that foundation-model choice is</w:t>
      </w:r>
      <w:r>
        <w:t xml:space="preserve"> </w:t>
      </w:r>
      <w:r>
        <w:rPr>
          <w:highlight w:val="yellow"/>
        </w:rPr>
        <w:t xml:space="preserve">accuracy levels. In an illustrative scenario of one million daily transactions at 0.1</w:t>
      </w:r>
      <w:r>
        <w:t xml:space="preserve">%</w:t>
      </w:r>
      <w:r>
        <w:t xml:space="preserve"> </w:t>
      </w:r>
      <w:r>
        <w:rPr>
          <w:highlight w:val="yellow"/>
        </w:rPr>
        <w:t xml:space="preserve">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w:t>
      </w:r>
      <w:r>
        <w:t xml:space="preserve"> </w:t>
      </w:r>
      <w:r>
        <w:t xml:space="preserve">not merely an AML procurement</w:t>
      </w:r>
      <w:r>
        <w:rPr>
          <w:strike/>
        </w:rPr>
        <w:t xml:space="preserve">or implementation</w:t>
      </w:r>
      <w:r>
        <w:t xml:space="preserve"> </w:t>
      </w:r>
      <w:r>
        <w:t xml:space="preserve">decision but a core operational risk parameter. Because commercially accessed models may be updated,</w:t>
      </w:r>
      <w:r>
        <w:t xml:space="preserve"> </w:t>
      </w:r>
      <w:r>
        <w:rPr>
          <w:strike/>
        </w:rPr>
        <w:t xml:space="preserve">substituted, repriced</w:t>
      </w:r>
      <w:r>
        <w:t xml:space="preserve"> </w:t>
      </w:r>
      <w:r>
        <w:rPr>
          <w:highlight w:val="yellow"/>
        </w:rPr>
        <w:t xml:space="preserve">substituted</w:t>
      </w:r>
      <w:r>
        <w:t xml:space="preserve"> </w:t>
      </w:r>
      <w:r>
        <w:t xml:space="preserve">or retired by providers, model</w:t>
      </w:r>
      <w:r>
        <w:t xml:space="preserve"> </w:t>
      </w:r>
      <w:r>
        <w:t xml:space="preserve"> </w:t>
      </w:r>
      <w:r>
        <w:t xml:space="preserve">tier substitution and alias redirection should be treated as first-class model risk events, and operating 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w:t>
      </w:r>
      <w:r>
        <w:t xml:space="preserve"> </w:t>
      </w:r>
      <w:r>
        <w:rPr>
          <w:strike/>
        </w:rPr>
        <w:t xml:space="preserve">Machine-learning</w:t>
      </w:r>
      <w:r>
        <w:t xml:space="preserve"> </w:t>
      </w:r>
      <w:r>
        <w:rPr>
          <w:highlight w:val="yellow"/>
        </w:rPr>
        <w:t xml:space="preserve">anti-money laundering (AML) monitoring</w:t>
      </w:r>
      <w:r>
        <w:t xml:space="preserve"> </w:t>
      </w:r>
      <w:r>
        <w:t xml:space="preserve">[1, 10, 19, 22]</w:t>
      </w:r>
      <w:r>
        <w:rPr>
          <w:highlight w:val="yellow"/>
        </w:rPr>
        <w:t xml:space="preserve">.</w:t>
      </w:r>
    </w:p>
    <w:p>
      <w:pPr>
        <w:pStyle w:val="BodyText"/>
      </w:pPr>
      <w:r>
        <w:rPr>
          <w:highlight w:val="yellow"/>
        </w:rPr>
        <w:t xml:space="preserve">Machine learning</w:t>
      </w:r>
      <w:r>
        <w:t xml:space="preserve"> </w:t>
      </w:r>
      <w:r>
        <w:t xml:space="preserve">methods have been introduced into AML and related</w:t>
      </w:r>
      <w:r>
        <w:t xml:space="preserve"> </w:t>
      </w:r>
      <w:r>
        <w:rPr>
          <w:strike/>
        </w:rPr>
        <w:t xml:space="preserve">financial-crime</w:t>
      </w:r>
      <w:r>
        <w:t xml:space="preserve"> </w:t>
      </w:r>
      <w:r>
        <w:rPr>
          <w:highlight w:val="yellow"/>
        </w:rPr>
        <w:t xml:space="preserve">financial crime</w:t>
      </w:r>
      <w:r>
        <w:t xml:space="preserve"> </w:t>
      </w:r>
      <w:r>
        <w:t xml:space="preserve">applications largely to improve this trade-off. Existing research in this domain includes supervised classifiers, ensemble methods,</w:t>
      </w:r>
      <w:r>
        <w:t xml:space="preserve"> </w:t>
      </w:r>
      <w:r>
        <w:rPr>
          <w:strike/>
        </w:rPr>
        <w:t xml:space="preserve">deep-learning</w:t>
      </w:r>
      <w:r>
        <w:t xml:space="preserve"> </w:t>
      </w:r>
      <w:r>
        <w:rPr>
          <w:highlight w:val="yellow"/>
        </w:rPr>
        <w:t xml:space="preserve">deep learning</w:t>
      </w:r>
      <w:r>
        <w:t xml:space="preserve"> </w:t>
      </w:r>
      <w:r>
        <w:t xml:space="preserve">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w:t>
      </w:r>
      <w:r>
        <w:t xml:space="preserve"> </w:t>
      </w:r>
      <w:r>
        <w:rPr>
          <w:highlight w:val="yellow"/>
        </w:rPr>
        <w:t xml:space="preserve">natural language 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w:t>
      </w:r>
      <w:r>
        <w:t xml:space="preserve"> </w:t>
      </w:r>
      <w:r>
        <w:rPr>
          <w:strike/>
        </w:rPr>
        <w:t xml:space="preserve">model-capability</w:t>
      </w:r>
      <w:r>
        <w:t xml:space="preserve"> </w:t>
      </w:r>
      <w:r>
        <w:rPr>
          <w:highlight w:val="yellow"/>
        </w:rPr>
        <w:t xml:space="preserve">model capability</w:t>
      </w:r>
      <w:r>
        <w:t xml:space="preserve"> </w:t>
      </w:r>
      <w:r>
        <w:t xml:space="preserve">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w:t>
      </w:r>
      <w:r>
        <w:t xml:space="preserve"> </w:t>
      </w:r>
      <w:r>
        <w:rPr>
          <w:strike/>
        </w:rPr>
        <w:t xml:space="preserve">re-price,</w:t>
      </w:r>
      <w:r>
        <w:t xml:space="preserve"> </w:t>
      </w:r>
      <w:r>
        <w:rPr>
          <w:highlight w:val="yellow"/>
        </w:rPr>
        <w:t xml:space="preserve">reprice,</w:t>
      </w:r>
      <w:r>
        <w:t xml:space="preserve"> </w:t>
      </w:r>
      <w:r>
        <w:t xml:space="preserve">route or retire models. Two deployments with identical screening logic and identical transaction data can behave differently solely because they use different foundation models. Moreover, a provider-side change to the model can alter system behaviour without any retraining event or</w:t>
      </w:r>
      <w:r>
        <w:t xml:space="preserve"> </w:t>
      </w:r>
      <w:r>
        <w:rPr>
          <w:strike/>
        </w:rPr>
        <w:t xml:space="preserve">data-distribution shift that a traditional drift-monitoring</w:t>
      </w:r>
      <w:r>
        <w:t xml:space="preserve"> </w:t>
      </w:r>
      <w:r>
        <w:rPr>
          <w:highlight w:val="yellow"/>
        </w:rPr>
        <w:t xml:space="preserve">data distribution shift that a traditional drift monitoring</w:t>
      </w:r>
      <w:r>
        <w:t xml:space="preserve"> </w:t>
      </w:r>
      <w:r>
        <w:t xml:space="preserve">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w:t>
      </w:r>
      <w:r>
        <w:t xml:space="preserve"> </w:t>
      </w:r>
      <w:r>
        <w:rPr>
          <w:strike/>
        </w:rPr>
        <w:t xml:space="preserve">financial-crime</w:t>
      </w:r>
      <w:r>
        <w:t xml:space="preserve"> </w:t>
      </w:r>
      <w:r>
        <w:rPr>
          <w:highlight w:val="yellow"/>
        </w:rPr>
        <w:t xml:space="preserve">financial crime</w:t>
      </w:r>
      <w:r>
        <w:t xml:space="preserve"> </w:t>
      </w:r>
      <w:r>
        <w:t xml:space="preserve">literature has focused on reducing false positives through</w:t>
      </w:r>
      <w:r>
        <w:t xml:space="preserve"> </w:t>
      </w:r>
      <w:r>
        <w:rPr>
          <w:strike/>
        </w:rPr>
        <w:t xml:space="preserve">class-imbalance</w:t>
      </w:r>
      <w:r>
        <w:t xml:space="preserve"> </w:t>
      </w:r>
      <w:r>
        <w:rPr>
          <w:highlight w:val="yellow"/>
        </w:rPr>
        <w:t xml:space="preserve">class imbalance</w:t>
      </w:r>
      <w:r>
        <w:t xml:space="preserve"> </w:t>
      </w:r>
      <w:r>
        <w:t xml:space="preserve">correction, cost-sensitive learning, model optimisation, ensemble methods and better feature representations [1, 10, 19, 22]. Other work has investigated post-hoc explainability for the individual auditability of alerts [27, 38] and predictive or graph-based AML monitoring [24, 36]. More recent</w:t>
      </w:r>
      <w:r>
        <w:t xml:space="preserve"> </w:t>
      </w:r>
      <w:r>
        <w:rPr>
          <w:strike/>
        </w:rPr>
        <w:t xml:space="preserve">continual-learning</w:t>
      </w:r>
      <w:r>
        <w:t xml:space="preserve"> </w:t>
      </w:r>
      <w:r>
        <w:rPr>
          <w:highlight w:val="yellow"/>
        </w:rPr>
        <w:t xml:space="preserve">continual learning</w:t>
      </w:r>
      <w:r>
        <w:t xml:space="preserve"> </w:t>
      </w:r>
      <w:r>
        <w:t xml:space="preserve">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w:t>
      </w:r>
      <w:r>
        <w:t xml:space="preserve"> </w:t>
      </w:r>
      <w:r>
        <w:rPr>
          <w:strike/>
        </w:rPr>
        <w:t xml:space="preserve">model-comparison</w:t>
      </w:r>
      <w:r>
        <w:t xml:space="preserve"> </w:t>
      </w:r>
      <w:r>
        <w:rPr>
          <w:highlight w:val="yellow"/>
        </w:rPr>
        <w:t xml:space="preserve">model comparison</w:t>
      </w:r>
      <w:r>
        <w:t xml:space="preserve"> </w:t>
      </w:r>
      <w:r>
        <w:t xml:space="preserve">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w:t>
      </w:r>
      <w:r>
        <w:t xml:space="preserve"> </w:t>
      </w:r>
      <w:r>
        <w:rPr>
          <w:strike/>
        </w:rPr>
        <w:t xml:space="preserve">production-bank false-positive or miss rates,</w:t>
      </w:r>
      <w:r>
        <w:t xml:space="preserve"> </w:t>
      </w:r>
      <w:r>
        <w:rPr>
          <w:highlight w:val="yellow"/>
        </w:rPr>
        <w:t xml:space="preserve">false-positive or miss rates in production,</w:t>
      </w:r>
      <w:r>
        <w:t xml:space="preserve"> </w:t>
      </w:r>
      <w:r>
        <w:t xml:space="preserve">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w:t>
      </w:r>
      <w:r>
        <w:t xml:space="preserve"> </w:t>
      </w:r>
      <w:r>
        <w:rPr>
          <w:strike/>
        </w:rPr>
        <w:t xml:space="preserve">sensitivity;</w:t>
      </w:r>
      <w:r>
        <w:t xml:space="preserve"> </w:t>
      </w:r>
      <w:r>
        <w:rPr>
          <w:highlight w:val="yellow"/>
        </w:rPr>
        <w:t xml:space="preserve">sensitivity. We</w:t>
      </w:r>
      <w:r>
        <w:t xml:space="preserve"> </w:t>
      </w:r>
      <w:r>
        <w:t xml:space="preserve">compare the models with deterministic rules and supervised</w:t>
      </w:r>
      <w:r>
        <w:t xml:space="preserve"> </w:t>
      </w:r>
      <w:r>
        <w:rPr>
          <w:strike/>
        </w:rPr>
        <w:t xml:space="preserve">machine-learning baselines;</w:t>
      </w:r>
      <w:r>
        <w:t xml:space="preserve"> </w:t>
      </w:r>
      <w:r>
        <w:rPr>
          <w:highlight w:val="yellow"/>
        </w:rPr>
        <w:t xml:space="preserve">machine learning baselines,</w:t>
      </w:r>
      <w:r>
        <w:t xml:space="preserve"> </w:t>
      </w:r>
      <w:r>
        <w:t xml:space="preserve">and translate the measured operating points into an illustrative low-prevalence</w:t>
      </w:r>
      <w:r>
        <w:t xml:space="preserve"> </w:t>
      </w:r>
      <w:r>
        <w:rPr>
          <w:strike/>
        </w:rPr>
        <w:t xml:space="preserve">alert-volume</w:t>
      </w:r>
      <w:r>
        <w:t xml:space="preserve"> </w:t>
      </w:r>
      <w:r>
        <w:rPr>
          <w:highlight w:val="yellow"/>
        </w:rPr>
        <w:t xml:space="preserve">alert volume</w:t>
      </w:r>
      <w:r>
        <w:t xml:space="preserve"> </w:t>
      </w:r>
      <w:r>
        <w:t xml:space="preserve">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Model substitution as a governance event.</w:t>
      </w:r>
      <w:r>
        <w:t xml:space="preserve"> </w:t>
      </w:r>
      <w:r>
        <w:rPr>
          <w:highlight w:val="yellow"/>
        </w:rPr>
        <w:t xml:space="preserve">We treat model tier substitution and provider-managed</w:t>
      </w:r>
      <w:r>
        <w:t xml:space="preserve"> </w:t>
      </w:r>
      <w:r>
        <w:rPr>
          <w:rStyle w:val="VerbatimChar"/>
        </w:rPr>
        <w:t xml:space="preserve">-latest</w:t>
      </w:r>
      <w:r>
        <w:t xml:space="preserve"> </w:t>
      </w:r>
      <w:r>
        <w:rPr>
          <w:highlight w:val="yellow"/>
        </w:rPr>
        <w:t xml:space="preserve">alias redirection as first-class model risk events, and propose a standing operating 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 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w:t>
      </w:r>
      <w:r>
        <w:t xml:space="preserve"> </w:t>
      </w:r>
      <w:r>
        <w:rPr>
          <w:strike/>
        </w:rPr>
        <w:t xml:space="preserve">production-bank false-positive or miss rates,</w:t>
      </w:r>
      <w:r>
        <w:t xml:space="preserve"> </w:t>
      </w:r>
      <w:r>
        <w:rPr>
          <w:highlight w:val="yellow"/>
        </w:rPr>
        <w:t xml:space="preserve">false-positive or miss rates in production,</w:t>
      </w:r>
      <w:r>
        <w:t xml:space="preserve"> </w:t>
      </w:r>
      <w:r>
        <w:t xml:space="preserve">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w:t>
      </w:r>
      <w:r>
        <w:t xml:space="preserve"> </w:t>
      </w:r>
      <w:r>
        <w:rPr>
          <w:strike/>
        </w:rPr>
        <w:t xml:space="preserve">natural-language summaries; suspicious</w:t>
      </w:r>
      <w:r>
        <w:t xml:space="preserve"> </w:t>
      </w:r>
      <w:r>
        <w:rPr>
          <w:highlight w:val="yellow"/>
        </w:rPr>
        <w:t xml:space="preserve">natural language summaries. Suspicious</w:t>
      </w:r>
      <w:r>
        <w:t xml:space="preserve"> </w:t>
      </w:r>
      <w:r>
        <w:t xml:space="preserve">cases used irregular sub-threshold amounts rather than mechanically uniform</w:t>
      </w:r>
      <w:r>
        <w:t xml:space="preserve"> </w:t>
      </w:r>
      <w:r>
        <w:rPr>
          <w:strike/>
        </w:rPr>
        <w:t xml:space="preserve">ones; laundering</w:t>
      </w:r>
      <w:r>
        <w:t xml:space="preserve"> </w:t>
      </w:r>
      <w:r>
        <w:rPr>
          <w:highlight w:val="yellow"/>
        </w:rPr>
        <w:t xml:space="preserve">ones. Laundering</w:t>
      </w:r>
      <w:r>
        <w:t xml:space="preserve"> </w:t>
      </w:r>
      <w:r>
        <w:t xml:space="preserve">signals were interleaved with legitimate background</w:t>
      </w:r>
      <w:r>
        <w:t xml:space="preserve"> </w:t>
      </w:r>
      <w:r>
        <w:rPr>
          <w:strike/>
        </w:rPr>
        <w:t xml:space="preserve">transactions;</w:t>
      </w:r>
      <w:r>
        <w:t xml:space="preserve"> </w:t>
      </w:r>
      <w:r>
        <w:rPr>
          <w:highlight w:val="yellow"/>
        </w:rPr>
        <w:t xml:space="preserve">transactions,</w:t>
      </w:r>
      <w:r>
        <w:t xml:space="preserve"> </w:t>
      </w:r>
      <w:r>
        <w:t xml:space="preserve">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w:t>
      </w:r>
      <w:r>
        <w:t xml:space="preserve"> </w:t>
      </w:r>
      <w:r>
        <w:rPr>
          <w:strike/>
        </w:rPr>
        <w:t xml:space="preserve">production-bank performance.</w:t>
      </w:r>
      <w:r>
        <w:t xml:space="preserve"> </w:t>
      </w:r>
      <w:r>
        <w:rPr>
          <w:highlight w:val="yellow"/>
        </w:rPr>
        <w:t xml:space="preserve">performance in production.</w:t>
      </w:r>
      <w:r>
        <w:t xml:space="preserve"> </w:t>
      </w:r>
      <w:r>
        <w:t xml:space="preserve">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 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 template strata are used as clustering units for cluster-bootstrap confidence intervals and cluster-level permutation tests. Wilson score intervals for individual model proportions remain case-level intervals.</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rPr>
          <w:highlight w:val="yellow"/>
        </w:rPr>
        <w:t xml:space="preserve">)</w:t>
      </w:r>
    </w:p>
    <w:p>
      <w:pPr>
        <w:numPr>
          <w:ilvl w:val="0"/>
          <w:numId w:val="1002"/>
        </w:numPr>
      </w:pPr>
      <w:r>
        <w:rPr>
          <w:highlight w:val="yellow"/>
        </w:rPr>
        <w:t xml:space="preserve">OpenAI GPT-4.1-mini (</w:t>
      </w:r>
      <w:r>
        <w:rPr>
          <w:rStyle w:val="VerbatimChar"/>
        </w:rPr>
        <w:t xml:space="preserve">gpt-4.1-mini-2025-04-14</w:t>
      </w:r>
      <w:r>
        <w:rPr>
          <w:highlight w:val="yellow"/>
        </w:rPr>
        <w:t xml:space="preserve">)</w:t>
      </w:r>
    </w:p>
    <w:p>
      <w:pPr>
        <w:numPr>
          <w:ilvl w:val="0"/>
          <w:numId w:val="1002"/>
        </w:numPr>
      </w:pPr>
      <w:r>
        <w:rPr>
          <w:highlight w:val="yellow"/>
        </w:rPr>
        <w:t xml:space="preserve">OpenAI GPT-4o (</w:t>
      </w:r>
      <w:r>
        <w:rPr>
          <w:rStyle w:val="VerbatimChar"/>
        </w:rPr>
        <w:t xml:space="preserve">gpt-4o-2024-11-20</w:t>
      </w:r>
      <w:r>
        <w:rPr>
          <w:highlight w:val="yellow"/>
        </w:rPr>
        <w:t xml:space="preserve">)</w:t>
      </w:r>
    </w:p>
    <w:p>
      <w:pPr>
        <w:numPr>
          <w:ilvl w:val="0"/>
          <w:numId w:val="1002"/>
        </w:numPr>
      </w:pPr>
      <w:r>
        <w:rPr>
          <w:highlight w:val="yellow"/>
        </w:rP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rPr>
          <w:highlight w:val="yellow"/>
        </w:rPr>
        <w:t xml:space="preserve">.</w:t>
      </w:r>
      <w:r>
        <w:t xml:space="preserve"> </w:t>
      </w:r>
      <w:r>
        <w:t xml:space="preserve">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w:t>
      </w:r>
      <w:r>
        <w:t xml:space="preserve"> </w:t>
      </w:r>
      <w:r>
        <w:rPr>
          <w:strike/>
        </w:rPr>
        <w:t xml:space="preserve">class; the</w:t>
      </w:r>
      <w:r>
        <w:t xml:space="preserve"> </w:t>
      </w:r>
      <w:r>
        <w:rPr>
          <w:highlight w:val="yellow"/>
        </w:rPr>
        <w:t xml:space="preserve">class. The</w:t>
      </w:r>
      <w:r>
        <w:t xml:space="preserve"> </w:t>
      </w:r>
      <w:r>
        <w:t xml:space="preserve">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sustained interface access for the full run could not be secured. The final grid of five models from two providers is therefore the result of documented attrition rather than a two-provider design, and, because tier is defined only within providers, a provider main effect cannot be separated from the tier effect.</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 Ties are not uniformly distributed: on legitimate cases they number 6, 20, 40, 58 and 8 for Gemini Flash, GPT-4o, GPT-4.1-mini, Gemini Flash-Lite and GPT-4o-mini respectively, and on suspicious cases 19, 15, 10, 4 and 0. They concentrate where a model sits near its own decision boundary, so the rule affects the middle of the distribution more than its extremes.</w:t>
      </w:r>
    </w:p>
    <w:p>
      <w:pPr>
        <w:pStyle w:val="BodyText"/>
      </w:pPr>
      <w:r>
        <w:rPr>
          <w:highlight w:val="yellow"/>
        </w:rPr>
        <w:t xml:space="preserve">Because the choice of rule is consequential, the results are reported under four further tie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label-dependent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Those rates are therefore attainable without reference to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 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All Cochran’s</w:t>
      </w:r>
      <w:r>
        <w:t xml:space="preserve"> </w:t>
      </w:r>
      <m:oMath>
        <m:r>
          <m:t>Q</m:t>
        </m:r>
      </m:oMath>
      <w:r>
        <w:t xml:space="preserve"> </w:t>
      </w:r>
      <w:r>
        <w:rPr>
          <w:highlight w:val="yellow"/>
        </w:rPr>
        <w:t xml:space="preserve">values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 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 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Measured cost per call is reported as an expenditure measure and may also reflect differences in token usage. It is not interpreted as a direct measure of model capability or size.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w:t>
      </w:r>
      <w:r>
        <w:t xml:space="preserve"> </w:t>
      </w:r>
      <w:r>
        <w:rPr>
          <w:strike/>
        </w:rPr>
        <w:t xml:space="preserve">machine-learning</w:t>
      </w:r>
      <w:r>
        <w:t xml:space="preserve"> </w:t>
      </w:r>
      <w:r>
        <w:rPr>
          <w:highlight w:val="yellow"/>
        </w:rPr>
        <w:t xml:space="preserve">machine learning</w:t>
      </w:r>
      <w:r>
        <w:t xml:space="preserve"> </w:t>
      </w:r>
      <w:r>
        <w:t xml:space="preserve">baseline based on engineered graph and transaction features, including counts of cash transactions, sub-threshold transfers, fan-in behaviour, shell-entity involvement, high-risk jurisdictions and temporal-span</w:t>
      </w:r>
      <w:r>
        <w:t xml:space="preserve"> </w:t>
      </w:r>
      <w:r>
        <w:rPr>
          <w:strike/>
        </w:rPr>
        <w:t xml:space="preserve">features; logistic-regression</w:t>
      </w:r>
      <w:r>
        <w:t xml:space="preserve"> </w:t>
      </w:r>
      <w:r>
        <w:rPr>
          <w:highlight w:val="yellow"/>
        </w:rPr>
        <w:t xml:space="preserve">features. Logistic-regression</w:t>
      </w:r>
      <w:r>
        <w:t xml:space="preserve"> </w:t>
      </w:r>
      <w:r>
        <w:t xml:space="preserve">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w:t>
      </w:r>
      <w:r>
        <w:t xml:space="preserve"> </w:t>
      </w:r>
      <w:r>
        <w:rPr>
          <w:strike/>
        </w:rPr>
        <w:t xml:space="preserve">operating-point</w:t>
      </w:r>
      <w:r>
        <w:t xml:space="preserve"> </w:t>
      </w:r>
      <w:r>
        <w:rPr>
          <w:highlight w:val="yellow"/>
        </w:rPr>
        <w:t xml:space="preserve">operating point</w:t>
      </w:r>
      <w:r>
        <w:t xml:space="preserve"> </w:t>
      </w:r>
      <w:r>
        <w:t xml:space="preserve">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w:t>
      </w:r>
      <w:r>
        <w:t xml:space="preserve"> </w:t>
      </w:r>
      <w:r>
        <w:rPr>
          <w:strike/>
        </w:rPr>
        <w:t xml:space="preserve">3.10; the</w:t>
      </w:r>
      <w:r>
        <w:t xml:space="preserve"> </w:t>
      </w:r>
      <w:r>
        <w:rPr>
          <w:highlight w:val="yellow"/>
        </w:rPr>
        <w:t xml:space="preserve">3.10. The</w:t>
      </w:r>
      <w:r>
        <w:t xml:space="preserve"> </w:t>
      </w:r>
      <w:r>
        <w:t xml:space="preserve">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highlight w:val="yellow"/>
        </w:rPr>
        <w:t xml:space="preserve">71.8 to 93.7, cluster bootstrap over the eight case template strata)</w:t>
      </w:r>
      <w:r>
        <w:t xml:space="preserve"> </w:t>
      </w:r>
      <w:r>
        <w:t xml:space="preserve">(Fig. </w:t>
      </w:r>
      <w:hyperlink w:anchor="fig:fp">
        <w:r>
          <w:rPr>
            <w:rStyle w:val="Hyperlink"/>
          </w:rPr>
          <w:t xml:space="preserve">1</w:t>
        </w:r>
      </w:hyperlink>
      <w:r>
        <w:rPr>
          <w:highlight w:val="yellow"/>
        </w:rPr>
        <w:t xml:space="preserve">,</w:t>
      </w:r>
      <w:r>
        <w:t xml:space="preserve"> </w:t>
      </w:r>
      <w:r>
        <w:t xml:space="preserve">Table </w:t>
      </w:r>
      <w:hyperlink w:anchor="tab:ops">
        <w:r>
          <w:rPr>
            <w:rStyle w:val="Hyperlink"/>
          </w:rPr>
          <w:t xml:space="preserve">2</w:t>
        </w:r>
      </w:hyperlink>
      <w:r>
        <w:rPr>
          <w:highlight w:val="yellow"/>
        </w:rPr>
        <w:t xml:space="preserve">). 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 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 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rPr>
          <w:highlight w:val="yellow"/>
        </w:rPr>
        <w:t xml:space="preserve">,</w:t>
      </w:r>
      <w:r>
        <w:t xml:space="preserve"> </w:t>
      </w:r>
      <w:r>
        <w:t xml:space="preserve">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 to 51.2), GPT-4.1-mini to GPT-4o-mini (3 and 149, 48.7 points, CI 25.8 to 72.5), and Gemini Flash to Gemini Flash-Lite (0 and 125, 41.7 points, CI 19.7 to 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highlight w:val="yellow"/>
        </w:rPr>
        <w:t xml:space="preserve">857,000 alerts for GPT-4o-mini</w:t>
      </w:r>
      <w:r>
        <w:t xml:space="preserve"> </w:t>
      </w:r>
      <w:r>
        <w:t xml:space="preserve">(Fig. </w:t>
      </w:r>
      <w:hyperlink w:anchor="fig:vol">
        <w:r>
          <w:rPr>
            <w:rStyle w:val="Hyperlink"/>
          </w:rPr>
          <w:t xml:space="preserve">3</w:t>
        </w:r>
      </w:hyperlink>
      <w:r>
        <w:rPr>
          <w:highlight w:val="yellow"/>
        </w:rPr>
        <w:t xml:space="preserve">,</w:t>
      </w:r>
      <w:r>
        <w:t xml:space="preserve"> </w:t>
      </w:r>
      <w:r>
        <w:t xml:space="preserve">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w:t>
      </w:r>
      <w:r>
        <w:t xml:space="preserve"> </w:t>
      </w:r>
      <w:r>
        <w:rPr>
          <w:strike/>
        </w:rPr>
        <w:t xml:space="preserve">point; at</w:t>
      </w:r>
      <w:r>
        <w:t xml:space="preserve"> </w:t>
      </w:r>
      <w:r>
        <w:rPr>
          <w:highlight w:val="yellow"/>
        </w:rPr>
        <w:t xml:space="preserve">point. At</w:t>
      </w:r>
      <w:r>
        <w:t xml:space="preserve"> </w:t>
      </w:r>
      <w:r>
        <w:t xml:space="preserve">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 the</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 The</w:t>
      </w:r>
      <w:r>
        <w:t xml:space="preserve"> </w:t>
      </w:r>
      <w:r>
        <w:t xml:space="preserve">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w:t>
      </w:r>
      <w:r>
        <w:t xml:space="preserve"> </w:t>
      </w:r>
      <w:r>
        <w:rPr>
          <w:strike/>
        </w:rPr>
        <w:t xml:space="preserve">operating-point</w:t>
      </w:r>
      <w:r>
        <w:t xml:space="preserve"> </w:t>
      </w:r>
      <w:r>
        <w:rPr>
          <w:highlight w:val="yellow"/>
        </w:rPr>
        <w:t xml:space="preserve">operating point</w:t>
      </w:r>
      <w:r>
        <w:t xml:space="preserve"> </w:t>
      </w:r>
      <w:r>
        <w:t xml:space="preserve">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 of legitimate activity; such</w:t>
      </w:r>
      <w:r>
        <w:t xml:space="preserve"> </w:t>
      </w:r>
      <w:r>
        <w:rPr>
          <w:highlight w:val="yellow"/>
        </w:rPr>
        <w:t xml:space="preserve">86</w:t>
      </w:r>
      <w:r>
        <w:t xml:space="preserve">%</w:t>
      </w:r>
      <w:r>
        <w:t xml:space="preserve"> </w:t>
      </w:r>
      <w:r>
        <w:rPr>
          <w:highlight w:val="yellow"/>
        </w:rPr>
        <w:t xml:space="preserve">of legitimate activity. Such</w:t>
      </w:r>
      <w:r>
        <w:t xml:space="preserve"> </w:t>
      </w:r>
      <w:r>
        <w:t xml:space="preserve">behaviour would be caught by a competent pre-deployment validation. The more important result is that the screening operating point is partly inherited from the underlying foundation model and can change significantly when that model changes. In a traditional</w:t>
      </w:r>
      <w:r>
        <w:t xml:space="preserve"> </w:t>
      </w:r>
      <w:r>
        <w:rPr>
          <w:strike/>
        </w:rPr>
        <w:t xml:space="preserve">machine-learning</w:t>
      </w:r>
      <w:r>
        <w:t xml:space="preserve"> </w:t>
      </w:r>
      <w:r>
        <w:rPr>
          <w:highlight w:val="yellow"/>
        </w:rPr>
        <w:t xml:space="preserve">machine learning</w:t>
      </w:r>
      <w:r>
        <w:t xml:space="preserve"> </w:t>
      </w:r>
      <w:r>
        <w:t xml:space="preserve">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In principle, model-specific threshold tuning could narrow the false-positive-rate spread, but models could still differ in the miss rates achieved at a common false-positive rate.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w:t>
      </w:r>
      <w:r>
        <w:t xml:space="preserve"> </w:t>
      </w:r>
      <w:r>
        <w:rPr>
          <w:strike/>
        </w:rPr>
        <w:t xml:space="preserve">features;</w:t>
      </w:r>
      <w:r>
        <w:t xml:space="preserve"> </w:t>
      </w:r>
      <w:r>
        <w:rPr>
          <w:highlight w:val="yellow"/>
        </w:rPr>
        <w:t xml:space="preserve">features,</w:t>
      </w:r>
      <w:r>
        <w:t xml:space="preserve"> </w:t>
      </w:r>
      <w:r>
        <w:t xml:space="preserve">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w:t>
      </w:r>
      <w:r>
        <w:t xml:space="preserve"> </w:t>
      </w:r>
      <w:r>
        <w:rPr>
          <w:strike/>
        </w:rPr>
        <w:t xml:space="preserve">GPT-4o; for</w:t>
      </w:r>
      <w:r>
        <w:t xml:space="preserve"> </w:t>
      </w:r>
      <w:r>
        <w:rPr>
          <w:highlight w:val="yellow"/>
        </w:rPr>
        <w:t xml:space="preserve">GPT-4o. For</w:t>
      </w:r>
      <w:r>
        <w:t xml:space="preserve"> </w:t>
      </w:r>
      <w:r>
        <w:t xml:space="preserve">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w:t>
      </w:r>
      <w:r>
        <w:t xml:space="preserve"> </w:t>
      </w:r>
      <w:r>
        <w:rPr>
          <w:strike/>
        </w:rPr>
        <w:t xml:space="preserve">details; they</w:t>
      </w:r>
      <w:r>
        <w:t xml:space="preserve"> </w:t>
      </w:r>
      <w:r>
        <w:rPr>
          <w:highlight w:val="yellow"/>
        </w:rPr>
        <w:t xml:space="preserve">details. They</w:t>
      </w:r>
      <w:r>
        <w:t xml:space="preserve"> </w:t>
      </w:r>
      <w:r>
        <w:t xml:space="preserve">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w:t>
      </w:r>
      <w:r>
        <w:t xml:space="preserve"> </w:t>
      </w:r>
      <w:r>
        <w:rPr>
          <w:strike/>
        </w:rPr>
        <w:t xml:space="preserve">model-risk</w:t>
      </w:r>
      <w:r>
        <w:t xml:space="preserve"> </w:t>
      </w:r>
      <w:r>
        <w:rPr>
          <w:highlight w:val="yellow"/>
        </w:rPr>
        <w:t xml:space="preserve">model risk</w:t>
      </w:r>
      <w:r>
        <w:t xml:space="preserve"> </w:t>
      </w:r>
      <w:r>
        <w:t xml:space="preserve">guidance establishes inventory, validation and monitoring principles for covered vendor and third-party models, while noting that generative and agentic AI fall outside its formal</w:t>
      </w:r>
      <w:r>
        <w:t xml:space="preserve"> </w:t>
      </w:r>
      <w:r>
        <w:rPr>
          <w:strike/>
        </w:rPr>
        <w:t xml:space="preserve">scope; broader</w:t>
      </w:r>
      <w:r>
        <w:t xml:space="preserve"> </w:t>
      </w:r>
      <w:r>
        <w:rPr>
          <w:highlight w:val="yellow"/>
        </w:rPr>
        <w:t xml:space="preserve">scope</w:t>
      </w:r>
      <w:r>
        <w:t xml:space="preserve"> </w:t>
      </w:r>
      <w:r>
        <w:t xml:space="preserve">[6]</w:t>
      </w:r>
      <w:r>
        <w:rPr>
          <w:highlight w:val="yellow"/>
        </w:rPr>
        <w:t xml:space="preserve">. Broader</w:t>
      </w:r>
      <w:r>
        <w:t xml:space="preserve"> </w:t>
      </w:r>
      <w:r>
        <w:t xml:space="preserve">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r>
        <w:rPr>
          <w:strike/>
        </w:rP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 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 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 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 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w:t>
      </w:r>
      <w:r>
        <w:t xml:space="preserve"> </w:t>
      </w:r>
      <w:r>
        <w:rPr>
          <w:strike/>
        </w:rPr>
        <w:t xml:space="preserve">production-bank records.</w:t>
      </w:r>
      <w:r>
        <w:t xml:space="preserve"> </w:t>
      </w:r>
      <w:r>
        <w:rPr>
          <w:highlight w:val="yellow"/>
        </w:rPr>
        <w:t xml:space="preserve">records from a production bank.</w:t>
      </w:r>
      <w:r>
        <w:t xml:space="preserve"> </w:t>
      </w:r>
      <w:r>
        <w:t xml:space="preserve">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w:t>
      </w:r>
      <w:r>
        <w:t xml:space="preserve"> </w:t>
      </w:r>
      <w:r>
        <w:rPr>
          <w:strike/>
        </w:rPr>
        <w:t xml:space="preserve">production-bank performance; the</w:t>
      </w:r>
      <w:r>
        <w:t xml:space="preserve"> </w:t>
      </w:r>
      <w:r>
        <w:rPr>
          <w:highlight w:val="yellow"/>
        </w:rPr>
        <w:t xml:space="preserve">performance in production. The</w:t>
      </w:r>
      <w:r>
        <w:t xml:space="preserve"> </w:t>
      </w:r>
      <w:r>
        <w:t xml:space="preserve">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dropped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 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Results are reported under four further tie policies and each deployable single-call configuration</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 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w:t>
      </w:r>
      <w:r>
        <w:t xml:space="preserve"> </w:t>
      </w:r>
      <w:r>
        <w:rPr>
          <w:strike/>
        </w:rPr>
        <w:t xml:space="preserve">bank; they</w:t>
      </w:r>
      <w:r>
        <w:t xml:space="preserve"> </w:t>
      </w:r>
      <w:r>
        <w:rPr>
          <w:highlight w:val="yellow"/>
        </w:rPr>
        <w:t xml:space="preserve">bank. They</w:t>
      </w:r>
      <w:r>
        <w:t xml:space="preserve"> </w:t>
      </w:r>
      <w:r>
        <w:t xml:space="preserve">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w:t>
      </w:r>
      <w:r>
        <w:t xml:space="preserve"> </w:t>
      </w:r>
      <w:r>
        <w:rPr>
          <w:strike/>
        </w:rPr>
        <w:t xml:space="preserve">insufficient; the</w:t>
      </w:r>
      <w:r>
        <w:t xml:space="preserve"> </w:t>
      </w:r>
      <w:r>
        <w:rPr>
          <w:highlight w:val="yellow"/>
        </w:rPr>
        <w:t xml:space="preserve">insufficient. The</w:t>
      </w:r>
      <w:r>
        <w:t xml:space="preserve"> </w:t>
      </w:r>
      <w:r>
        <w:t xml:space="preserve">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w:t>
      </w:r>
      <w:r>
        <w:t xml:space="preserve"> </w:t>
      </w:r>
      <w:r>
        <w:rPr>
          <w:strike/>
        </w:rPr>
        <w:t xml:space="preserve">alert-volume difference of about 197-fold.</w:t>
      </w:r>
      <w:r>
        <w:t xml:space="preserve"> </w:t>
      </w:r>
      <w:r>
        <w:rPr>
          <w:highlight w:val="yellow"/>
        </w:rPr>
        <w:t xml:space="preserve">alert volume difference of 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w:t>
      </w:r>
      <w:r>
        <w:t xml:space="preserve"> </w:t>
      </w:r>
      <w:r>
        <w:rPr>
          <w:strike/>
        </w:rPr>
        <w:t xml:space="preserve">operating-point</w:t>
      </w:r>
      <w:r>
        <w:t xml:space="preserve"> </w:t>
      </w:r>
      <w:r>
        <w:rPr>
          <w:highlight w:val="yellow"/>
        </w:rPr>
        <w:t xml:space="preserve">operating point</w:t>
      </w:r>
      <w:r>
        <w:t xml:space="preserve"> </w:t>
      </w:r>
      <w:r>
        <w:t xml:space="preserve">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w:t>
      </w:r>
      <w:r>
        <w:t xml:space="preserve"> </w:t>
      </w:r>
      <w:r>
        <w:rPr>
          <w:strike/>
        </w:rPr>
        <w:t xml:space="preserve">production-bank performance,</w:t>
      </w:r>
      <w:r>
        <w:t xml:space="preserve"> </w:t>
      </w:r>
      <w:r>
        <w:rPr>
          <w:highlight w:val="yellow"/>
        </w:rPr>
        <w:t xml:space="preserve">performance in production,</w:t>
      </w:r>
      <w:r>
        <w:t xml:space="preserve"> </w:t>
      </w:r>
      <w:r>
        <w:t xml:space="preserve">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w:t>
      </w:r>
      <w:r>
        <w:t xml:space="preserve"> </w:t>
      </w:r>
      <w:r>
        <w:rPr>
          <w:strike/>
        </w:rPr>
        <w:t xml:space="preserve">model-risk</w:t>
      </w:r>
      <w:r>
        <w:t xml:space="preserve"> </w:t>
      </w:r>
      <w:r>
        <w:rPr>
          <w:highlight w:val="yellow"/>
        </w:rPr>
        <w:t xml:space="preserve">model risk</w:t>
      </w:r>
      <w:r>
        <w:t xml:space="preserve"> </w:t>
      </w:r>
      <w:r>
        <w:t xml:space="preserve">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m:oMath>
              <m:r>
                <m:t>Q</m:t>
              </m:r>
            </m:oMath>
            <w:r>
              <w:t xml:space="preserve">​</w:t>
            </w:r>
          </w:p>
        </w:tc>
      </w:tr>
      <w:tr>
        <w:tc>
          <w:tcPr/>
          <w:p>
            <w:pPr>
              <w:pStyle w:val="Compact"/>
              <w:jc w:val="left"/>
            </w:pPr>
            <w:r>
              <w:rPr>
                <w:highlight w:val="yellow"/>
              </w:rPr>
              <w:t xml:space="preserve">Ties to flag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tie rule</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 it</w:t>
      </w:r>
      <w:r>
        <w:t xml:space="preserve"> </w:t>
      </w:r>
      <w:r>
        <w:rPr>
          <w:highlight w:val="yellow"/>
        </w:rPr>
        <w:t xml:space="preserve">One row of</w:t>
      </w:r>
      <w:r>
        <w:t xml:space="preserve"> </w:t>
      </w:r>
      <w:r>
        <w:t xml:space="preserve">Table </w:t>
      </w:r>
      <w:hyperlink w:anchor="tab:agg">
        <w:r>
          <w:rPr>
            <w:rStyle w:val="Hyperlink"/>
          </w:rPr>
          <w:t xml:space="preserve">1</w:t>
        </w:r>
      </w:hyperlink>
      <w:r>
        <w:t xml:space="preserve"> </w:t>
      </w:r>
      <w:r>
        <w:rPr>
          <w:highlight w:val="yellow"/>
        </w:rP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w:t>
      </w:r>
      <w:r>
        <w:t xml:space="preserve">%</w:t>
      </w:r>
      <w:r>
        <w:t xml:space="preserve"> </w:t>
      </w:r>
      <w:r>
        <w:rPr>
          <w:highlight w:val="yellow"/>
        </w:rPr>
        <w:t xml:space="preserve">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rPr>
          <w:highlight w:val="yellow"/>
        </w:rPr>
        <w:t xml:space="preserve">and does not consult the known case label. It</w:t>
      </w:r>
      <w:r>
        <w:t xml:space="preserve"> </w:t>
      </w:r>
      <w:r>
        <w:t xml:space="preserve">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Results under alternative tie policies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 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 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 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pPr>
          </w:p>
        </w:tc>
        <w:tc>
          <w:tcPr/>
          <w:p>
            <w:pPr>
              <w:pStyle w:val="Compact"/>
            </w:pPr>
          </w:p>
        </w:tc>
      </w:tr>
    </w:tbl>
    <w:bookmarkEnd w:id="58"/>
    <w:p>
      <w:pPr>
        <w:pStyle w:val="BodyText"/>
      </w:pPr>
      <w:r>
        <w:t xml:space="preserve">Analyses used open-source software (Python, NumPy, scikit-learn, SciPy,</w:t>
      </w:r>
      <w:r>
        <w:t xml:space="preserve"> </w:t>
      </w:r>
      <w:r>
        <w:rPr>
          <w:strike/>
        </w:rPr>
        <w:t xml:space="preserve">Matplotlib); the</w:t>
      </w:r>
      <w:r>
        <w:t xml:space="preserve"> </w:t>
      </w:r>
      <w:r>
        <w:rPr>
          <w:highlight w:val="yellow"/>
        </w:rPr>
        <w:t xml:space="preserve">Matplotlib). The</w:t>
      </w:r>
      <w:r>
        <w:t xml:space="preserve"> </w:t>
      </w:r>
      <w:r>
        <w:t xml:space="preserve">authors thank the maintainers of these open-source projects.</w:t>
      </w:r>
    </w:p>
    <w:bookmarkEnd w:id="59"/>
    <w:bookmarkStart w:id="62"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rPr>
          <w:strike/>
        </w:rPr>
        <w:t xml:space="preserve">(MIT licence); the</w:t>
      </w:r>
      <w:r>
        <w:t xml:space="preserve"> </w:t>
      </w:r>
      <w:r>
        <w:rPr>
          <w:highlight w:val="yellow"/>
        </w:rPr>
        <w:t xml:space="preserve">under the MIT licence, and archived on Zenodo under the concept DOI</w:t>
      </w:r>
      <w:r>
        <w:t xml:space="preserve"> </w:t>
      </w:r>
      <w:hyperlink r:id="rId61">
        <w:r>
          <w:rPr>
            <w:rStyle w:val="Hyperlink"/>
          </w:rPr>
          <w:t xml:space="preserve">https://doi.org/10.5281/zenodo.23424852</w:t>
        </w:r>
      </w:hyperlink>
      <w:r>
        <w:rPr>
          <w:highlight w:val="yellow"/>
        </w:rPr>
        <w:t xml:space="preserve">, which resolves to the most recent version. The</w:t>
      </w:r>
      <w:r>
        <w:t xml:space="preserve"> </w:t>
      </w:r>
      <w:r>
        <w:t xml:space="preserve">repository root includes</w:t>
      </w:r>
      <w:r>
        <w:t xml:space="preserve"> </w:t>
      </w:r>
      <w:r>
        <w:rPr>
          <w:rStyle w:val="VerbatimChar"/>
        </w:rPr>
        <w:t xml:space="preserve">REPRODUCIBILITY_DOCUMENTATION.pdf</w:t>
      </w:r>
      <w:r>
        <w:t xml:space="preserve">, a</w:t>
      </w:r>
      <w:r>
        <w:t xml:space="preserve"> </w:t>
      </w:r>
      <w:r>
        <w:rPr>
          <w:strike/>
        </w:rPr>
        <w:t xml:space="preserve">section-by-section guide to every input, script,</w:t>
      </w:r>
      <w:r>
        <w:t xml:space="preserve"> </w:t>
      </w:r>
      <w:r>
        <w:rPr>
          <w:highlight w:val="yellow"/>
        </w:rPr>
        <w:t xml:space="preserve">guide to every input, script</w:t>
      </w:r>
      <w:r>
        <w:t xml:space="preserve"> </w:t>
      </w:r>
      <w:r>
        <w:t xml:space="preserve">and output and to the</w:t>
      </w:r>
      <w:r>
        <w:t xml:space="preserve"> </w:t>
      </w:r>
      <w:r>
        <w:rPr>
          <w:highlight w:val="yellow"/>
        </w:rPr>
        <w:t xml:space="preserve">offline reproduction, which runs with one command.</w:t>
      </w:r>
      <w:r>
        <w:t xml:space="preserve"> </w:t>
      </w:r>
      <w:r>
        <w:t xml:space="preserve">The study uses only synthetic</w:t>
      </w:r>
      <w:r>
        <w:t xml:space="preserve"> </w:t>
      </w:r>
      <w:r>
        <w:rPr>
          <w:strike/>
        </w:rPr>
        <w:t xml:space="preserve">data: no human participants, no proprietary records, and no live model access are needed</w:t>
      </w:r>
      <w:r>
        <w:t xml:space="preserve"> </w:t>
      </w:r>
      <w:r>
        <w:rPr>
          <w:highlight w:val="yellow"/>
        </w:rPr>
        <w:t xml:space="preserve">transaction data. No human participants, proprietary records or live model access are required</w:t>
      </w:r>
      <w:r>
        <w:t xml:space="preserve"> </w:t>
      </w:r>
      <w:r>
        <w:t xml:space="preserve">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rPr>
          <w:strike/>
        </w:rPr>
        <w:t xml:space="preserve">); its</w:t>
      </w:r>
      <w:r>
        <w:t xml:space="preserve"> </w:t>
      </w:r>
      <w:r>
        <w:rPr>
          <w:highlight w:val="yellow"/>
        </w:rPr>
        <w:t xml:space="preserve">). Its</w:t>
      </w:r>
      <w:r>
        <w:t xml:space="preserve"> </w:t>
      </w:r>
      <w:r>
        <w:t xml:space="preserve">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w:t>
      </w:r>
      <w:r>
        <w:t xml:space="preserve"> </w:t>
      </w:r>
      <w:r>
        <w:rPr>
          <w:strike/>
        </w:rPr>
        <w:t xml:space="preserve">applicable (synthetic data only;</w:t>
      </w:r>
      <w:r>
        <w:t xml:space="preserve"> </w:t>
      </w:r>
      <w:r>
        <w:rPr>
          <w:highlight w:val="yellow"/>
        </w:rPr>
        <w:t xml:space="preserve">applicable. The study uses synthetic data only, with</w:t>
      </w:r>
      <w:r>
        <w:t xml:space="preserve"> </w:t>
      </w:r>
      <w:r>
        <w:t xml:space="preserve">no human participants, human tissue or</w:t>
      </w:r>
      <w:r>
        <w:t xml:space="preserve"> </w:t>
      </w:r>
      <w:r>
        <w:rPr>
          <w:strike/>
        </w:rPr>
        <w:t xml:space="preserve">animals).</w:t>
      </w:r>
      <w:r>
        <w:t xml:space="preserve"> </w:t>
      </w:r>
      <w:r>
        <w:rPr>
          <w:b/>
          <w:bCs/>
          <w:strike/>
        </w:rPr>
        <w:t xml:space="preserve">Consent for publication.</w:t>
      </w:r>
      <w:r>
        <w:rPr>
          <w:strike/>
        </w:rPr>
        <w:t xml:space="preserve"> </w:t>
      </w:r>
      <w:r>
        <w:rPr>
          <w:strike/>
        </w:rPr>
        <w:t xml:space="preserve">Not applicable.</w:t>
      </w:r>
      <w:r>
        <w:t xml:space="preserve"> </w:t>
      </w:r>
      <w:r>
        <w:rPr>
          <w:b/>
          <w:bCs/>
          <w:strike/>
        </w:rPr>
        <w:t xml:space="preserve">Materials availability.</w:t>
      </w:r>
      <w:r>
        <w:rPr>
          <w:strike/>
        </w:rPr>
        <w:t xml:space="preserve"> </w:t>
      </w:r>
      <w:r>
        <w:rPr>
          <w:strike/>
        </w:rPr>
        <w:t xml:space="preserve">Not applicable (the</w:t>
      </w:r>
      <w:r>
        <w:t xml:space="preserve"> </w:t>
      </w:r>
      <w:r>
        <w:rPr>
          <w:highlight w:val="yellow"/>
        </w:rPr>
        <w:t xml:space="preserve">animals.</w:t>
      </w:r>
    </w:p>
    <w:p>
      <w:pPr>
        <w:pStyle w:val="BodyText"/>
      </w:pPr>
      <w:r>
        <w:rPr>
          <w:b/>
          <w:bCs/>
        </w:rPr>
        <w:t xml:space="preserve">Consent for publication.</w:t>
      </w:r>
      <w:r>
        <w:t xml:space="preserve"> </w:t>
      </w:r>
      <w:r>
        <w:rPr>
          <w:highlight w:val="yellow"/>
        </w:rPr>
        <w:t xml:space="preserve">Not applicable.</w:t>
      </w:r>
    </w:p>
    <w:p>
      <w:pPr>
        <w:pStyle w:val="BodyText"/>
      </w:pPr>
      <w:r>
        <w:rPr>
          <w:b/>
          <w:bCs/>
        </w:rPr>
        <w:t xml:space="preserve">Materials availability.</w:t>
      </w:r>
      <w:r>
        <w:t xml:space="preserve"> </w:t>
      </w:r>
      <w:r>
        <w:rPr>
          <w:highlight w:val="yellow"/>
        </w:rPr>
        <w:t xml:space="preserve">Not applicable. The</w:t>
      </w:r>
      <w:r>
        <w:t xml:space="preserve"> </w:t>
      </w:r>
      <w:r>
        <w:t xml:space="preserve">study uses only synthetic data and open-source</w:t>
      </w:r>
      <w:r>
        <w:t xml:space="preserve"> </w:t>
      </w:r>
      <w:r>
        <w:rPr>
          <w:strike/>
        </w:rPr>
        <w:t xml:space="preserve">software; no physical materials).</w:t>
      </w:r>
      <w:r>
        <w:t xml:space="preserve"> </w:t>
      </w:r>
      <w:r>
        <w:rPr>
          <w:highlight w:val="yellow"/>
        </w:rPr>
        <w:t xml:space="preserve">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w:t>
      </w:r>
      <w:r>
        <w:t xml:space="preserve"> </w:t>
      </w:r>
      <w:r>
        <w:rPr>
          <w:strike/>
        </w:rPr>
        <w:t xml:space="preserve">0009-0007-2779-3492;</w:t>
      </w:r>
      <w:r>
        <w:t xml:space="preserve"> </w:t>
      </w:r>
      <w:r>
        <w:rPr>
          <w:highlight w:val="yellow"/>
        </w:rPr>
        <w:t xml:space="preserve">0009-0007-2779-3492,</w:t>
      </w:r>
      <w:r>
        <w:t xml:space="preserve"> </w:t>
      </w:r>
      <w:r>
        <w:t xml:space="preserve">R.C. 0009-0007-2807-3948.</w:t>
      </w:r>
    </w:p>
    <w:bookmarkEnd w:id="62"/>
    <w:bookmarkStart w:id="9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3">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4">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r>
        <w:t xml:space="preserve"> </w:t>
      </w:r>
      <w:hyperlink r:id="rId65">
        <w:r>
          <w:rPr>
            <w:rStyle w:val="Hyperlink"/>
          </w:rPr>
          <w:t xml:space="preserve">https://doi.org/10.52202/075280-1300</w:t>
        </w:r>
      </w:hyperlink>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6">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7">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8">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9">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70">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1">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2">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r>
        <w:t xml:space="preserve"> </w:t>
      </w:r>
      <w:hyperlink r:id="rId73">
        <w:r>
          <w:rPr>
            <w:rStyle w:val="Hyperlink"/>
          </w:rPr>
          <w:t xml:space="preserve">https://eur-lex.europa.eu/eli/reg/2024/1689/oj</w:t>
        </w:r>
      </w:hyperlink>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w:t>
      </w:r>
      <w:r>
        <w:t xml:space="preserve"> </w:t>
      </w:r>
      <w:hyperlink r:id="rId74">
        <w:r>
          <w:rPr>
            <w:rStyle w:val="Hyperlink"/>
          </w:rPr>
          <w:t xml:space="preserve">https://www.fatf-gafi.org/en/publications/Fatfrecommendations/Fatf-recommendations.html</w:t>
        </w:r>
      </w:hyperlink>
      <w:r>
        <w:t xml:space="preserve">, updated 2023</w:t>
      </w:r>
    </w:p>
    <w:p>
      <w:pPr>
        <w:numPr>
          <w:ilvl w:val="0"/>
          <w:numId w:val="1003"/>
        </w:numPr>
      </w:pPr>
      <w:r>
        <w:t xml:space="preserve">Financial Action Task Force</w:t>
      </w:r>
      <w:r>
        <w:t xml:space="preserve"> </w:t>
      </w:r>
      <w:r>
        <w:t xml:space="preserve">(2021) Stocktake on data pooling, collaborative analytics and data protection. Tech. rep., FATF,</w:t>
      </w:r>
      <w:r>
        <w:t xml:space="preserve"> </w:t>
      </w:r>
      <w:hyperlink r:id="rId75">
        <w:r>
          <w:rPr>
            <w:rStyle w:val="Hyperlink"/>
          </w:rPr>
          <w:t xml:space="preserve">https://www.fatf-gafi.org/en/publications/Digitaltransformation/Data-pooling-collaborative-analytics-data-protection.html</w:t>
        </w:r>
      </w:hyperlink>
    </w:p>
    <w:p>
      <w:pPr>
        <w:numPr>
          <w:ilvl w:val="0"/>
          <w:numId w:val="1003"/>
        </w:numPr>
      </w:pPr>
      <w:r>
        <w:t xml:space="preserve">Gebru T, et al (2021) Datasheets for datasets. Commun ACM 64:86–92.</w:t>
      </w:r>
      <w:r>
        <w:t xml:space="preserve"> </w:t>
      </w:r>
      <w:hyperlink r:id="rId76">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7">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w:t>
      </w:r>
      <w:r>
        <w:t xml:space="preserve"> </w:t>
      </w:r>
      <w:hyperlink r:id="rId78">
        <w:r>
          <w:rPr>
            <w:rStyle w:val="Hyperlink"/>
          </w:rPr>
          <w:t xml:space="preserve">https://ai.google.dev/gemini-api/docs/models</w:t>
        </w:r>
      </w:hyperlink>
      <w:r>
        <w:t xml:space="preserve">,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9">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80">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81">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82">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83">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84">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5">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6">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w:t>
      </w:r>
      <w:r>
        <w:t xml:space="preserve"> </w:t>
      </w:r>
      <w:hyperlink r:id="rId87">
        <w:r>
          <w:rPr>
            <w:rStyle w:val="Hyperlink"/>
          </w:rPr>
          <w:t xml:space="preserve">https://doi.org/10.6028/NIST.AI.100-1</w:t>
        </w:r>
      </w:hyperlink>
      <w:r>
        <w:t xml:space="preserve">,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Development of a synthetic transaction monitoring dataset (</w:t>
      </w:r>
      <w:r>
        <w:t xml:space="preserve">SAML-D</w:t>
      </w:r>
      <w:r>
        <w:t xml:space="preserve">). In: Proc. IEEE Int. Conf. e-Business Engineering,</w:t>
      </w:r>
      <w:r>
        <w:t xml:space="preserve"> </w:t>
      </w:r>
      <w:hyperlink r:id="rId88">
        <w:r>
          <w:rPr>
            <w:rStyle w:val="Hyperlink"/>
          </w:rPr>
          <w:t xml:space="preserve">https://doi.org/10.1109/ICEBE59045.2023.00028</w:t>
        </w:r>
      </w:hyperlink>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9">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90">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91">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r>
        <w:t xml:space="preserve"> </w:t>
      </w:r>
      <w:hyperlink r:id="rId92">
        <w:r>
          <w:rPr>
            <w:rStyle w:val="Hyperlink"/>
          </w:rPr>
          <w:t xml:space="preserve">https://www.unodc.org/documents/data-and-analysis/Studies/Illicit_financial_flows_2011_web.pdf</w:t>
        </w:r>
      </w:hyperlink>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9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94">
        <w:r>
          <w:rPr>
            <w:rStyle w:val="Hyperlink"/>
          </w:rPr>
          <w:t xml:space="preserve">https://doi.org/10.1007/s44163-026-01283-3</w:t>
        </w:r>
      </w:hyperlink>
    </w:p>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8" Target="https://ai.google.dev/gemini-api/docs/models" TargetMode="External" /><Relationship Type="http://schemas.openxmlformats.org/officeDocument/2006/relationships/hyperlink" Id="rId77" Target="https://doi.org/10.1002/isaf.1509" TargetMode="External" /><Relationship Type="http://schemas.openxmlformats.org/officeDocument/2006/relationships/hyperlink" Id="rId71" Target="https://doi.org/10.1002/wics.70040" TargetMode="External" /><Relationship Type="http://schemas.openxmlformats.org/officeDocument/2006/relationships/hyperlink" Id="rId84" Target="https://doi.org/10.1007/BF02295996" TargetMode="External" /><Relationship Type="http://schemas.openxmlformats.org/officeDocument/2006/relationships/hyperlink" Id="rId66" Target="https://doi.org/10.1007/s44163-025-00574-5" TargetMode="External" /><Relationship Type="http://schemas.openxmlformats.org/officeDocument/2006/relationships/hyperlink" Id="rId86"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94"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9" Target="https://doi.org/10.1016/j.dss.2020.113303" TargetMode="External" /><Relationship Type="http://schemas.openxmlformats.org/officeDocument/2006/relationships/hyperlink" Id="rId70" Target="https://doi.org/10.1017/can.2022.3" TargetMode="External" /><Relationship Type="http://schemas.openxmlformats.org/officeDocument/2006/relationships/hyperlink" Id="rId81" Target="https://doi.org/10.1038/s41597-023-02569-2" TargetMode="External" /><Relationship Type="http://schemas.openxmlformats.org/officeDocument/2006/relationships/hyperlink" Id="rId83" Target="https://doi.org/10.1073/pnas.2018340118" TargetMode="External" /><Relationship Type="http://schemas.openxmlformats.org/officeDocument/2006/relationships/hyperlink" Id="rId93" Target="https://doi.org/10.1080/01621459.1927.10502953" TargetMode="External" /><Relationship Type="http://schemas.openxmlformats.org/officeDocument/2006/relationships/hyperlink" Id="rId69" Target="https://doi.org/10.1093/biomet/37.3-4.256" TargetMode="External" /><Relationship Type="http://schemas.openxmlformats.org/officeDocument/2006/relationships/hyperlink" Id="rId82" Target="https://doi.org/10.1108/JMLC-07-2019-0055" TargetMode="External" /><Relationship Type="http://schemas.openxmlformats.org/officeDocument/2006/relationships/hyperlink" Id="rId88" Target="https://doi.org/10.1109/ICEBE59045.2023.00028" TargetMode="External" /><Relationship Type="http://schemas.openxmlformats.org/officeDocument/2006/relationships/hyperlink" Id="rId80" Target="https://doi.org/10.1109/TKDE.2008.239" TargetMode="External" /><Relationship Type="http://schemas.openxmlformats.org/officeDocument/2006/relationships/hyperlink" Id="rId91" Target="https://doi.org/10.1145/2939672.2939778" TargetMode="External" /><Relationship Type="http://schemas.openxmlformats.org/officeDocument/2006/relationships/hyperlink" Id="rId85" Target="https://doi.org/10.1145/3287560.3287596" TargetMode="External" /><Relationship Type="http://schemas.openxmlformats.org/officeDocument/2006/relationships/hyperlink" Id="rId90" Target="https://doi.org/10.1145/3351095.3372873" TargetMode="External" /><Relationship Type="http://schemas.openxmlformats.org/officeDocument/2006/relationships/hyperlink" Id="rId67" Target="https://doi.org/10.1145/3442188.3445922" TargetMode="External" /><Relationship Type="http://schemas.openxmlformats.org/officeDocument/2006/relationships/hyperlink" Id="rId76" Target="https://doi.org/10.1145/3458723" TargetMode="External" /><Relationship Type="http://schemas.openxmlformats.org/officeDocument/2006/relationships/hyperlink" Id="rId72" Target="https://doi.org/10.1214/aos/1176344552" TargetMode="External" /><Relationship Type="http://schemas.openxmlformats.org/officeDocument/2006/relationships/hyperlink" Id="rId79" Target="https://doi.org/10.1348/000711006X126600" TargetMode="External" /><Relationship Type="http://schemas.openxmlformats.org/officeDocument/2006/relationships/hyperlink" Id="rId68" Target="https://doi.org/10.1613/jair.953" TargetMode="External" /><Relationship Type="http://schemas.openxmlformats.org/officeDocument/2006/relationships/hyperlink" Id="rId65" Target="https://doi.org/10.52202/075280-1300" TargetMode="External" /><Relationship Type="http://schemas.openxmlformats.org/officeDocument/2006/relationships/hyperlink" Id="rId61" Target="https://doi.org/10.5281/zenodo.23424852" TargetMode="External" /><Relationship Type="http://schemas.openxmlformats.org/officeDocument/2006/relationships/hyperlink" Id="rId87" Target="https://doi.org/10.6028/NIST.AI.100-1" TargetMode="External" /><Relationship Type="http://schemas.openxmlformats.org/officeDocument/2006/relationships/hyperlink" Id="rId73" Target="https://eur-lex.europa.eu/eli/reg/2024/1689/oj" TargetMode="External" /><Relationship Type="http://schemas.openxmlformats.org/officeDocument/2006/relationships/hyperlink" Id="rId60" Target="https://github.com/samirrc2/ai-foundation-model-aml-false-positives" TargetMode="External" /><Relationship Type="http://schemas.openxmlformats.org/officeDocument/2006/relationships/hyperlink" Id="rId75" Target="https://www.fatf-gafi.org/en/publications/Digitaltransformation/Data-pooling-collaborative-analytics-data-protection.html" TargetMode="External" /><Relationship Type="http://schemas.openxmlformats.org/officeDocument/2006/relationships/hyperlink" Id="rId74" Target="https://www.fatf-gafi.org/en/publications/Fatfrecommendations/Fatf-recommendations.html" TargetMode="External" /><Relationship Type="http://schemas.openxmlformats.org/officeDocument/2006/relationships/hyperlink" Id="rId92" Target="https://www.unodc.org/documents/data-and-analysis/Studies/Illicit_financial_flows_2011_web.pdf" TargetMode="External" /></Relationships>
</file>

<file path=word/_rels/footnotes.xml.rels><?xml version="1.0" encoding="UTF-8"?><Relationships xmlns="http://schemas.openxmlformats.org/package/2006/relationships"><Relationship Type="http://schemas.openxmlformats.org/officeDocument/2006/relationships/hyperlink" Id="rId78" Target="https://ai.google.dev/gemini-api/docs/models" TargetMode="External" /><Relationship Type="http://schemas.openxmlformats.org/officeDocument/2006/relationships/hyperlink" Id="rId77" Target="https://doi.org/10.1002/isaf.1509" TargetMode="External" /><Relationship Type="http://schemas.openxmlformats.org/officeDocument/2006/relationships/hyperlink" Id="rId71" Target="https://doi.org/10.1002/wics.70040" TargetMode="External" /><Relationship Type="http://schemas.openxmlformats.org/officeDocument/2006/relationships/hyperlink" Id="rId84" Target="https://doi.org/10.1007/BF02295996" TargetMode="External" /><Relationship Type="http://schemas.openxmlformats.org/officeDocument/2006/relationships/hyperlink" Id="rId66" Target="https://doi.org/10.1007/s44163-025-00574-5" TargetMode="External" /><Relationship Type="http://schemas.openxmlformats.org/officeDocument/2006/relationships/hyperlink" Id="rId86"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94"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9" Target="https://doi.org/10.1016/j.dss.2020.113303" TargetMode="External" /><Relationship Type="http://schemas.openxmlformats.org/officeDocument/2006/relationships/hyperlink" Id="rId70" Target="https://doi.org/10.1017/can.2022.3" TargetMode="External" /><Relationship Type="http://schemas.openxmlformats.org/officeDocument/2006/relationships/hyperlink" Id="rId81" Target="https://doi.org/10.1038/s41597-023-02569-2" TargetMode="External" /><Relationship Type="http://schemas.openxmlformats.org/officeDocument/2006/relationships/hyperlink" Id="rId83" Target="https://doi.org/10.1073/pnas.2018340118" TargetMode="External" /><Relationship Type="http://schemas.openxmlformats.org/officeDocument/2006/relationships/hyperlink" Id="rId93" Target="https://doi.org/10.1080/01621459.1927.10502953" TargetMode="External" /><Relationship Type="http://schemas.openxmlformats.org/officeDocument/2006/relationships/hyperlink" Id="rId69" Target="https://doi.org/10.1093/biomet/37.3-4.256" TargetMode="External" /><Relationship Type="http://schemas.openxmlformats.org/officeDocument/2006/relationships/hyperlink" Id="rId82" Target="https://doi.org/10.1108/JMLC-07-2019-0055" TargetMode="External" /><Relationship Type="http://schemas.openxmlformats.org/officeDocument/2006/relationships/hyperlink" Id="rId88" Target="https://doi.org/10.1109/ICEBE59045.2023.00028" TargetMode="External" /><Relationship Type="http://schemas.openxmlformats.org/officeDocument/2006/relationships/hyperlink" Id="rId80" Target="https://doi.org/10.1109/TKDE.2008.239" TargetMode="External" /><Relationship Type="http://schemas.openxmlformats.org/officeDocument/2006/relationships/hyperlink" Id="rId91" Target="https://doi.org/10.1145/2939672.2939778" TargetMode="External" /><Relationship Type="http://schemas.openxmlformats.org/officeDocument/2006/relationships/hyperlink" Id="rId85" Target="https://doi.org/10.1145/3287560.3287596" TargetMode="External" /><Relationship Type="http://schemas.openxmlformats.org/officeDocument/2006/relationships/hyperlink" Id="rId90" Target="https://doi.org/10.1145/3351095.3372873" TargetMode="External" /><Relationship Type="http://schemas.openxmlformats.org/officeDocument/2006/relationships/hyperlink" Id="rId67" Target="https://doi.org/10.1145/3442188.3445922" TargetMode="External" /><Relationship Type="http://schemas.openxmlformats.org/officeDocument/2006/relationships/hyperlink" Id="rId76" Target="https://doi.org/10.1145/3458723" TargetMode="External" /><Relationship Type="http://schemas.openxmlformats.org/officeDocument/2006/relationships/hyperlink" Id="rId72" Target="https://doi.org/10.1214/aos/1176344552" TargetMode="External" /><Relationship Type="http://schemas.openxmlformats.org/officeDocument/2006/relationships/hyperlink" Id="rId79" Target="https://doi.org/10.1348/000711006X126600" TargetMode="External" /><Relationship Type="http://schemas.openxmlformats.org/officeDocument/2006/relationships/hyperlink" Id="rId68" Target="https://doi.org/10.1613/jair.953" TargetMode="External" /><Relationship Type="http://schemas.openxmlformats.org/officeDocument/2006/relationships/hyperlink" Id="rId65" Target="https://doi.org/10.52202/075280-1300" TargetMode="External" /><Relationship Type="http://schemas.openxmlformats.org/officeDocument/2006/relationships/hyperlink" Id="rId61" Target="https://doi.org/10.5281/zenodo.23424852" TargetMode="External" /><Relationship Type="http://schemas.openxmlformats.org/officeDocument/2006/relationships/hyperlink" Id="rId87" Target="https://doi.org/10.6028/NIST.AI.100-1" TargetMode="External" /><Relationship Type="http://schemas.openxmlformats.org/officeDocument/2006/relationships/hyperlink" Id="rId73" Target="https://eur-lex.europa.eu/eli/reg/2024/1689/oj" TargetMode="External" /><Relationship Type="http://schemas.openxmlformats.org/officeDocument/2006/relationships/hyperlink" Id="rId60" Target="https://github.com/samirrc2/ai-foundation-model-aml-false-positives" TargetMode="External" /><Relationship Type="http://schemas.openxmlformats.org/officeDocument/2006/relationships/hyperlink" Id="rId75" Target="https://www.fatf-gafi.org/en/publications/Digitaltransformation/Data-pooling-collaborative-analytics-data-protection.html" TargetMode="External" /><Relationship Type="http://schemas.openxmlformats.org/officeDocument/2006/relationships/hyperlink" Id="rId74" Target="https://www.fatf-gafi.org/en/publications/Fatfrecommendations/Fatf-recommendations.html" TargetMode="External" /><Relationship Type="http://schemas.openxmlformats.org/officeDocument/2006/relationships/hyperlink" Id="rId92" Target="https://www.unodc.org/documents/data-and-analysis/Studies/Illicit_financial_flows_2011_web.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2026-10-21T01:18:49Z</dcterms:created>
  <dcterms:modified xsi:type="dcterms:W3CDTF">2026-10-21T01:18:49Z</dcterms:modified>
</cp:coreProperties>
</file>

<file path=docProps/custom.xml><?xml version="1.0" encoding="utf-8"?>
<Properties xmlns="http://schemas.openxmlformats.org/officeDocument/2006/custom-properties" xmlns:vt="http://schemas.openxmlformats.org/officeDocument/2006/docPropsVTypes"/>
</file>