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w:t>
      </w:r>
      <w:r>
        <w:t xml:space="preserve"> </w:t>
      </w:r>
      <w:r>
        <w:rPr>
          <w:strike/>
        </w:rPr>
        <w:t xml:space="preserve">0.3% to 83.0%—an 82.7 percentage-point spread—and the models disagreed on 85.7</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typology strata)—and the models disagreed on 88.7</w:t>
      </w:r>
      <w:r>
        <w:t xml:space="preserve">% of legitimate cases. The differences were systematic: false-positive rates decreased monotonically with model tier within each</w:t>
      </w:r>
      <w:r>
        <w:t xml:space="preserve"> </w:t>
      </w:r>
      <w:r>
        <w:rPr>
          <w:strike/>
        </w:rPr>
        <w:t xml:space="preserve">provider family,</w:t>
      </w:r>
      <w:r>
        <w:t xml:space="preserve"> </w:t>
      </w:r>
      <w:r>
        <w:rPr>
          <w:highlight w:val="yellow"/>
        </w:rPr>
        <w:t xml:space="preserve">of the two provider families studied,</w:t>
      </w:r>
      <w:r>
        <w:t xml:space="preserve"> </w:t>
      </w:r>
      <w:r>
        <w:t xml:space="preserve">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w:t>
      </w:r>
      <w:r>
        <w:t xml:space="preserve"> </w:t>
      </w:r>
      <w:r>
        <w:rPr>
          <w:strike/>
        </w:rPr>
        <w:t xml:space="preserve">the observed operating points differed by about 200-fold in projected daily alert workload.</w:t>
      </w:r>
      <w:r>
        <w:t xml:space="preserve"> </w:t>
      </w:r>
      <w:r>
        <w:rPr>
          <w:highlight w:val="yellow"/>
        </w:rPr>
        <w:t xml:space="preserve">projected daily alert workload differed by 36- to 196-fold across the four deployable single-call configurations, and by about 35-fold under the preregistered per-case aggregate; the ordering of the models was invariant across prompts, seeds and prevalence.</w:t>
      </w:r>
      <w:r>
        <w:t xml:space="preserve"> </w:t>
      </w:r>
      <w:r>
        <w:t xml:space="preserve">These findings show that foundation-model choice is not merely an AML procurement or implementation decision but a core operational risk parameter. Because commercially accessed models may be updated, substituted, repriced or retired by providers,</w:t>
      </w:r>
      <w:r>
        <w:t xml:space="preserve"> </w:t>
      </w:r>
      <w:r>
        <w:rPr>
          <w:highlight w:val="yellow"/>
        </w:rPr>
        <w:t xml:space="preserve">model-tier substitution and provider-managed alias redirection should be treated as first-class model-risk events, and</w:t>
      </w:r>
      <w:r>
        <w:t xml:space="preserve"> </w:t>
      </w:r>
      <w:r>
        <w:t xml:space="preserve">model identity and operating-point stability should be explicitly incorporated into model-risk governance, validation and ongoing</w:t>
      </w:r>
      <w:r>
        <w:t xml:space="preserve"> </w:t>
      </w:r>
      <w:r>
        <w:rPr>
          <w:strike/>
        </w:rPr>
        <w:t xml:space="preserve">monitoring.</w:t>
      </w:r>
      <w:r>
        <w:t xml:space="preserve"> </w:t>
      </w:r>
      <w:r>
        <w:rPr>
          <w:highlight w:val="yellow"/>
        </w:rPr>
        <w:t xml:space="preserve">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any direct measurement of this cross-model divergence at scale under a controlled AML screening design.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[9, 39]</w:t>
      </w:r>
      <w:r>
        <w:rPr>
          <w:highlight w:val="yellow"/>
        </w:rPr>
        <w:t xml:space="preserve">. Our contribution is not the phenomenon but its first domain-specific,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w:t>
      </w:r>
    </w:p>
    <w:bookmarkEnd w:id="12"/>
    <w:bookmarkStart w:id="13" w:name="Xc4a3d29f5c03302f64052837ebb8bb0a41f0564"/>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w:t>
      </w:r>
      <w:r>
        <w:t xml:space="preserve"> </w:t>
      </w:r>
      <w:r>
        <w:rPr>
          <w:rStyle w:val="VerbatimChar"/>
        </w:rPr>
        <w:t xml:space="preserve">gemini-pro</w:t>
      </w:r>
      <w:r>
        <w:t xml:space="preserve"> </w:t>
      </w:r>
      <w:r>
        <w:rPr>
          <w:highlight w:val="yellow"/>
        </w:rPr>
        <w:t xml:space="preserve">was dropped for thinking-mode incompatibility and cost, and</w:t>
      </w:r>
      <w:r>
        <w:t xml:space="preserve"> </w:t>
      </w:r>
      <w:r>
        <w:rPr>
          <w:rStyle w:val="VerbatimChar"/>
        </w:rPr>
        <w:t xml:space="preserve">xai-grok</w:t>
      </w:r>
      <w:r>
        <w:t xml:space="preserve"> </w:t>
      </w:r>
      <w:r>
        <w:rPr>
          <w:highlight w:val="yellow"/>
        </w:rPr>
        <w:t xml:space="preserve">was dropped because the xAI account was out of credits before the full run. The final grid of five models from two providers is therefore the result of documented attrition rather than a two-provider design, and the loss of the third family is why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the ordering of the five models never changes.</w:t>
      </w:r>
    </w:p>
    <w:p>
      <w:pPr>
        <w:pStyle w:val="BodyText"/>
      </w:pPr>
      <w:r>
        <w:rPr>
          <w:highlight w:val="yellow"/>
        </w:rP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instead resolves ties by strict majority on both labels reproduces the submitted false-positive rates exactly, which locates the whole effect of the deviation on the miss axis, where miss rates rise from 12.0, 3.3, 3.7, 0.7 and 0.0</w:t>
      </w:r>
      <w:r>
        <w:t xml:space="preserve">%</w:t>
      </w:r>
      <w:r>
        <w:t xml:space="preserve"> </w:t>
      </w:r>
      <w:r>
        <w:rPr>
          <w:highlight w:val="yellow"/>
        </w:rPr>
        <w:t xml:space="preserve">to 18.3, 8.3, 7.0, 2.0 and 0.0</w:t>
      </w:r>
      <w:r>
        <w:t xml:space="preserve">%</w:t>
      </w:r>
      <w:r>
        <w:rPr>
          <w:highlight w:val="yellow"/>
        </w:rPr>
        <w:t xml:space="preserve">.</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typology templates, that assumption is not satisfied exactly. The primary test is therefore accompanied by a cluster-level permutation procedure in which the eight typology strata are resampled as clusters and model labels are permuted within case, and the adjacent-tier contrasts are reported with cluster-robust bootstrap intervals over the same strata. Case-level</w:t>
      </w:r>
      <w:r>
        <w:t xml:space="preserve"> </w:t>
      </w:r>
      <m:oMath>
        <m:r>
          <m:t>P</m:t>
        </m:r>
      </m:oMath>
      <w:r>
        <w:rPr>
          <w:highlight w:val="yellow"/>
        </w:rPr>
        <w:t xml:space="preserve">-values are retained for comparability with the preregistered analysis plan, and the cluster-robust results are the ones relied upon.</w:t>
      </w:r>
    </w:p>
    <w:p>
      <w:pPr>
        <w:pStyle w:val="BodyText"/>
      </w:pPr>
      <w:r>
        <w:t xml:space="preserve">Proportions such as false-positive and miss rates are reported with 95% Wilson score confidence intervals [43]. For quantities whose uncertainty was composition-dependent across typology strata (cross-model spread, disagreement metrics and typology-level rates), additional 95% percentile bootstrap confidence intervals were constructed via cluster resampling over the eight typology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strike/>
        </w:rPr>
        <w:t xml:space="preserve">69.2–95.3; cluster bootstrap over</w:t>
      </w:r>
      <w:r>
        <w:t xml:space="preserve"> </w:t>
      </w:r>
      <w:r>
        <w:rPr>
          <w:highlight w:val="yellow"/>
        </w:rPr>
        <w:t xml:space="preserve">71.8–93.7; cluster bootstrap over the eight</w:t>
      </w:r>
      <w:r>
        <w:t xml:space="preserve"> </w:t>
      </w:r>
      <w:r>
        <w:t xml:space="preserve">typology strata) (Fig. </w:t>
      </w:r>
      <w:hyperlink w:anchor="fig:fp">
        <w:r>
          <w:rPr>
            <w:rStyle w:val="Hyperlink"/>
          </w:rPr>
          <w:t xml:space="preserve">2</w:t>
        </w:r>
      </w:hyperlink>
      <w:r>
        <w:t xml:space="preserve">; Table </w:t>
      </w:r>
      <w:hyperlink w:anchor="tab:ops">
        <w:r>
          <w:rPr>
            <w:rStyle w:val="Hyperlink"/>
          </w:rPr>
          <w:t xml:space="preserve">2</w:t>
        </w:r>
      </w:hyperlink>
      <w:r>
        <w:t xml:space="preserve">). The overall difference among the five models was highly significant when evaluated on the same legitimate cases as paired binary classifications (Cochran’s</w:t>
      </w:r>
      <w:r>
        <w:t xml:space="preserve"> </w:t>
      </w:r>
      <m:oMath>
        <m:r>
          <m:t>Q</m:t>
        </m:r>
        <m:r>
          <m:rPr>
            <m:sty m:val="p"/>
          </m:rPr>
          <m:t>=</m:t>
        </m:r>
        <m:r>
          <m:t>131.6</m:t>
        </m:r>
      </m:oMath>
      <w:r>
        <w:rPr>
          <w:strike/>
        </w:rPr>
        <w:t xml:space="preserve">,</w:t>
      </w:r>
      <w:r>
        <w:rPr>
          <w:strike/>
        </w:rPr>
        <w:t xml:space="preserve"> </w:t>
      </w:r>
      <m:oMath>
        <m:r>
          <m:rPr>
            <m:sty m:val="p"/>
          </m:rPr>
          <m:t>d</m:t>
        </m:r>
        <m:r>
          <m:rPr>
            <m:sty m:val="p"/>
          </m:rPr>
          <m:t>f</m:t>
        </m:r>
        <m:r>
          <m:rPr>
            <m:sty m:val="p"/>
          </m:rPr>
          <m:t>=</m:t>
        </m:r>
        <m:r>
          <m:t>4</m:t>
        </m:r>
      </m:oMath>
      <w:r>
        <w:rPr>
          <w:strike/>
        </w:rPr>
        <w:t xml:space="preserve">,</w:t>
      </w:r>
      <w:r>
        <w:rPr>
          <w:strike/>
        </w:rPr>
        <w:t xml:space="preserve"> </w:t>
      </w:r>
      <m:oMath>
        <m:r>
          <m:t>P</m:t>
        </m:r>
        <m:r>
          <m:rPr>
            <m:sty m:val="p"/>
          </m:rPr>
          <m:t>≈</m:t>
        </m:r>
        <m:r>
          <m:t>2</m:t>
        </m:r>
        <m:r>
          <m:rPr>
            <m:sty m:val="p"/>
          </m:rPr>
          <m:t>×</m:t>
        </m:r>
        <m:sSup>
          <m:e>
            <m:r>
              <m:t>10</m:t>
            </m:r>
          </m:e>
          <m:sup>
            <m:r>
              <m:rPr>
                <m:sty m:val="p"/>
              </m:rPr>
              <m:t>−</m:t>
            </m:r>
            <m:r>
              <m:t>27</m:t>
            </m:r>
          </m:sup>
        </m:sSup>
      </m:oMath>
      <w:r>
        <w:t xml:space="preserve"> </w:t>
      </w:r>
      <m:oMath>
        <m:r>
          <m:t>Q</m:t>
        </m:r>
        <m:r>
          <m:rPr>
            <m:sty m:val="p"/>
          </m:rPr>
          <m:t>=</m:t>
        </m:r>
        <m:r>
          <m:t>117.0</m:t>
        </m:r>
      </m:oMath>
      <w:r>
        <w:rPr>
          <w:highlight w:val="yellow"/>
        </w:rPr>
        <w:t xml:space="preserve">,</w:t>
      </w:r>
      <w:r>
        <w:t xml:space="preserve"> </w:t>
      </w:r>
      <m:oMath>
        <m:r>
          <m:rPr>
            <m:sty m:val="p"/>
          </m:rPr>
          <m:t>d</m:t>
        </m:r>
        <m:r>
          <m:rPr>
            <m:sty m:val="p"/>
          </m:rPr>
          <m:t>f</m:t>
        </m:r>
        <m:r>
          <m:rPr>
            <m:sty m:val="p"/>
          </m:rPr>
          <m:t>=</m:t>
        </m:r>
        <m:r>
          <m:t>4</m:t>
        </m:r>
      </m:oMath>
      <w:r>
        <w:rPr>
          <w:highlight w:val="yellow"/>
        </w:rPr>
        <w:t xml:space="preserve">,</w:t>
      </w:r>
      <w:r>
        <w:t xml:space="preserve"> </w:t>
      </w:r>
      <m:oMath>
        <m:r>
          <m:t>P</m:t>
        </m:r>
        <m:r>
          <m:rPr>
            <m:sty m:val="p"/>
          </m:rPr>
          <m:t>≈</m:t>
        </m:r>
        <m:r>
          <m:t>2.3</m:t>
        </m:r>
        <m:r>
          <m:rPr>
            <m:sty m:val="p"/>
          </m:rPr>
          <m:t>×</m:t>
        </m:r>
        <m:sSup>
          <m:e>
            <m:r>
              <m:t>10</m:t>
            </m:r>
          </m:e>
          <m:sup>
            <m:r>
              <m:rPr>
                <m:sty m:val="p"/>
              </m:rPr>
              <m:t>−</m:t>
            </m:r>
            <m:r>
              <m:t>24</m:t>
            </m:r>
          </m:sup>
        </m:sSup>
      </m:oMath>
      <w:r>
        <w:rPr>
          <w:highlight w:val="yellow"/>
        </w:rPr>
        <w:t xml:space="preserve">). Because cases generated from a shared typology template are not independent, the same null was also tested by a permutation procedure that resamples the eight typology strata as clusters; no permutation of 2,000 reached the observed statistic (</w:t>
      </w:r>
      <m:oMath>
        <m:r>
          <m:t>P</m:t>
        </m:r>
        <m:r>
          <m:rPr>
            <m:sty m:val="p"/>
          </m:rPr>
          <m:t>&lt;</m:t>
        </m:r>
        <m:r>
          <m:t>0.001</m:t>
        </m:r>
      </m:oMath>
      <w:r>
        <w:t xml:space="preserve">). 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3</w:t>
        </w:r>
      </w:hyperlink>
      <w:r>
        <w:t xml:space="preserve">; 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12.6–51.2), GPT-4.1-mini to GPT-4o-mini (3 and 149; 48.7 points, CI 25.8–72.5), and Gemini Flash to Gemini Flash-Lite (0 and 125; 41.7 points, CI 19.7–65.2).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3</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strike/>
        </w:rPr>
        <w:t xml:space="preserve">830,000</w:t>
      </w:r>
      <w:r>
        <w:t xml:space="preserve"> </w:t>
      </w:r>
      <w:r>
        <w:rPr>
          <w:highlight w:val="yellow"/>
        </w:rPr>
        <w:t xml:space="preserve">857,000</w:t>
      </w:r>
      <w:r>
        <w:t xml:space="preserve"> </w:t>
      </w:r>
      <w:r>
        <w:t xml:space="preserve">alerts for GPT-4o-mini (Fig. </w:t>
      </w:r>
      <w:hyperlink w:anchor="fig:vol">
        <w:r>
          <w:rPr>
            <w:rStyle w:val="Hyperlink"/>
          </w:rPr>
          <w:t xml:space="preserve">4</w:t>
        </w:r>
      </w:hyperlink>
      <w:r>
        <w:t xml:space="preserve">; 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 point; at 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1</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much lower false-positive rates;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w:t>
      </w:r>
      <w:r>
        <w:t xml:space="preserve"> </w:t>
      </w:r>
      <w:r>
        <w:rPr>
          <w:highlight w:val="yellow"/>
        </w:rPr>
        <w:t xml:space="preserve">86</w:t>
      </w:r>
      <w:r>
        <w:t xml:space="preserve">%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What the data show is that the ordering of the models persists across both prompt formulations and all four single-call configurations, with the spread between 80.3 and 85.3 percentage points in every one, which is more stability than a simple threshold shift would predict. This is not a demonstration that score-level calibration could not compress the spread;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A provider main effect therefore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typology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4"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rates exactly, which locates the effect of the deviation on the miss axis alone.</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rates exactly, which locates the effect of the deviation on the miss axis alone."/>
      </w:tblPr>
      <w:tblGrid>
        <w:gridCol w:w="1131"/>
        <w:gridCol w:w="1131"/>
        <w:gridCol w:w="1131"/>
        <w:gridCol w:w="1131"/>
        <w:gridCol w:w="1131"/>
        <w:gridCol w:w="1131"/>
        <w:gridCol w:w="1131"/>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r>
      <w:tr>
        <w:tc>
          <w:tcPr/>
          <w:p>
            <w:pPr>
              <w:pStyle w:val="Compact"/>
              <w:jc w:val="left"/>
            </w:pPr>
            <w:r>
              <w:rPr>
                <w:highlight w:val="yellow"/>
              </w:rPr>
              <w:t xml:space="preserve">Ties to flag (preregistered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r>
      <w:tr>
        <w:tc>
          <w:tcPr/>
          <w:p>
            <w:pPr>
              <w:pStyle w:val="Compact"/>
              <w:jc w:val="left"/>
            </w:pPr>
            <w:r>
              <w:rPr>
                <w:highlight w:val="yellow"/>
              </w:rPr>
              <w:t xml:space="preserve">Ties as abstentions (dropped)</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r>
      <w:tr>
        <w:tc>
          <w:tcPr/>
          <w:p>
            <w:pPr>
              <w:pStyle w:val="Compact"/>
              <w:jc w:val="left"/>
            </w:pPr>
            <w:r>
              <w:rPr>
                <w:highlight w:val="yellow"/>
              </w:rPr>
              <w:t xml:space="preserve">Unanimity required to flag</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r>
      <w:tr>
        <w:tc>
          <w:tcPr/>
          <w:p>
            <w:pPr>
              <w:pStyle w:val="Compact"/>
              <w:jc w:val="left"/>
            </w:pPr>
            <w:r>
              <w:rPr>
                <w:highlight w:val="yellow"/>
              </w:rPr>
              <w:t xml:space="preserve">Label-dependent (as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r>
      <w:tr>
        <w:tc>
          <w:tcPr/>
          <w:p>
            <w:pPr>
              <w:pStyle w:val="Compact"/>
              <w:jc w:val="left"/>
            </w:pPr>
            <w:r>
              <w:rPr>
                <w:highlight w:val="yellow"/>
              </w:rPr>
              <w:t xml:space="preserve">Single call: FATF prompt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r>
      <w:tr>
        <w:tc>
          <w:tcPr/>
          <w:p>
            <w:pPr>
              <w:pStyle w:val="Compact"/>
              <w:jc w:val="left"/>
            </w:pPr>
            <w:r>
              <w:rPr>
                <w:highlight w:val="yellow"/>
              </w:rPr>
              <w:t xml:space="preserve">Single call: FATF prompt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r>
      <w:tr>
        <w:tc>
          <w:tcPr/>
          <w:p>
            <w:pPr>
              <w:pStyle w:val="Compact"/>
              <w:jc w:val="left"/>
            </w:pPr>
            <w:r>
              <w:rPr>
                <w:highlight w:val="yellow"/>
              </w:rPr>
              <w:t xml:space="preserve">Single call: terse prompt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r>
      <w:tr>
        <w:tc>
          <w:tcPr/>
          <w:p>
            <w:pPr>
              <w:pStyle w:val="Compact"/>
              <w:jc w:val="left"/>
            </w:pPr>
            <w:r>
              <w:rPr>
                <w:highlight w:val="yellow"/>
              </w:rPr>
              <w:t xml:space="preserve">Single call: terse prompt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Start w:id="33" w:name="fig:sweep"/>
    <w:p>
      <w:pPr>
        <w:pStyle w:val="CaptionedFigure"/>
      </w:pPr>
      <w:r>
        <w:drawing>
          <wp:inline>
            <wp:extent cx="5067300" cy="2737586"/>
            <wp:effectExtent b="0" l="0" r="0" t="0"/>
            <wp:docPr descr="" title="" id="31" name="Picture"/>
            <a:graphic>
              <a:graphicData uri="http://schemas.openxmlformats.org/drawingml/2006/picture">
                <pic:pic>
                  <pic:nvPicPr>
                    <pic:cNvPr descr="fig6_prevalence_sweep.png" id="32" name="Picture"/>
                    <pic:cNvPicPr>
                      <a:picLocks noChangeArrowheads="1" noChangeAspect="1"/>
                    </pic:cNvPicPr>
                  </pic:nvPicPr>
                  <pic:blipFill>
                    <a:blip r:embed="rId30"/>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33"/>
    <w:bookmarkEnd w:id="34"/>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w:t>
      </w:r>
      <w:r>
        <w:t xml:space="preserve"> </w:t>
      </w:r>
      <w:r>
        <w:rPr>
          <w:highlight w:val="yellow"/>
        </w:rPr>
        <w:t xml:space="preserve">D4 resolves an exact split toward</w:t>
      </w:r>
      <w:r>
        <w:t xml:space="preserve"> </w:t>
      </w:r>
      <w:r>
        <w:rPr>
          <w:rStyle w:val="VerbatimChar"/>
        </w:rPr>
        <w:t xml:space="preserve">flag</w:t>
      </w:r>
      <w:r>
        <w:t xml:space="preserve"> </w:t>
      </w:r>
      <w:r>
        <w:rPr>
          <w:highlight w:val="yellow"/>
        </w:rPr>
        <w:t xml:space="preserve">and does not consult the known case label;</w:t>
      </w:r>
      <w:r>
        <w:t xml:space="preserve"> </w:t>
      </w:r>
      <w:r>
        <w:t xml:space="preserve">it 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Even under D4 the four-call aggregate remains an evaluation construct rather than a deployable screening configuration, because a deployed screener issues one call per transaction;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8" w:name="fig:fp"/>
    <w:p>
      <w:pPr>
        <w:pStyle w:val="CaptionedFigure"/>
      </w:pPr>
      <w:r>
        <w:drawing>
          <wp:inline>
            <wp:extent cx="3840480" cy="2416403"/>
            <wp:effectExtent b="0" l="0" r="0" t="0"/>
            <wp:docPr descr="" title="" id="36" name="Picture"/>
            <a:graphic>
              <a:graphicData uri="http://schemas.openxmlformats.org/drawingml/2006/picture">
                <pic:pic>
                  <pic:nvPicPr>
                    <pic:cNvPr descr="fig1_fp_by_model.png" id="37" name="Picture"/>
                    <pic:cNvPicPr>
                      <a:picLocks noChangeArrowheads="1" noChangeAspect="1"/>
                    </pic:cNvPicPr>
                  </pic:nvPicPr>
                  <pic:blipFill>
                    <a:blip r:embed="rId35"/>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117.0</m:t>
        </m:r>
      </m:oMath>
      <w:r>
        <w:t xml:space="preserve">, degrees of freedom</w:t>
      </w:r>
      <w:r>
        <w:t xml:space="preserve"> </w:t>
      </w:r>
      <m:oMath>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w:t>
      </w:r>
    </w:p>
    <w:bookmarkEnd w:id="38"/>
    <w:bookmarkStart w:id="42" w:name="fig:ops"/>
    <w:p>
      <w:pPr>
        <w:pStyle w:val="CaptionedFigure"/>
      </w:pPr>
      <w:r>
        <w:drawing>
          <wp:inline>
            <wp:extent cx="3307080" cy="2613081"/>
            <wp:effectExtent b="0" l="0" r="0" t="0"/>
            <wp:docPr descr="" title="" id="40" name="Picture"/>
            <a:graphic>
              <a:graphicData uri="http://schemas.openxmlformats.org/drawingml/2006/picture">
                <pic:pic>
                  <pic:nvPicPr>
                    <pic:cNvPr descr="fig2_operating_points.png" id="41" name="Picture"/>
                    <pic:cNvPicPr>
                      <a:picLocks noChangeArrowheads="1" noChangeAspect="1"/>
                    </pic:cNvPicPr>
                  </pic:nvPicPr>
                  <pic:blipFill>
                    <a:blip r:embed="rId39"/>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42"/>
    <w:bookmarkStart w:id="46" w:name="fig:vol"/>
    <w:p>
      <w:pPr>
        <w:pStyle w:val="CaptionedFigure"/>
      </w:pPr>
      <w:r>
        <w:drawing>
          <wp:inline>
            <wp:extent cx="3840480" cy="2425198"/>
            <wp:effectExtent b="0" l="0" r="0" t="0"/>
            <wp:docPr descr="" title="" id="44" name="Picture"/>
            <a:graphic>
              <a:graphicData uri="http://schemas.openxmlformats.org/drawingml/2006/picture">
                <pic:pic>
                  <pic:nvPicPr>
                    <pic:cNvPr descr="fig3_alert_volume.png" id="45" name="Picture"/>
                    <pic:cNvPicPr>
                      <a:picLocks noChangeArrowheads="1" noChangeAspect="1"/>
                    </pic:cNvPicPr>
                  </pic:nvPicPr>
                  <pic:blipFill>
                    <a:blip r:embed="rId43"/>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error bars are 95% Wilson score confidence intervals.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3</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giving 12</w:t>
            </w:r>
            <w:r>
              <w:t xml:space="preserve">,</w:t>
            </w:r>
            <w:r>
              <w:t xml:space="preserve">120 realized calls against 12</w:t>
            </w:r>
            <w:r>
              <w:t xml:space="preserve">,</w:t>
            </w:r>
            <w:r>
              <w:t xml:space="preserve">000 by design</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 Matplotlib); the authors thank the maintainers of these open-source projects.</w:t>
      </w:r>
    </w:p>
    <w:bookmarkEnd w:id="59"/>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12,000-call response corpus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30" Target="media/rId30.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2026-10-16T01:19:58Z</dcterms:created>
  <dcterms:modified xsi:type="dcterms:W3CDTF">2026-10-16T01:19:58Z</dcterms:modified>
</cp:coreProperties>
</file>

<file path=docProps/custom.xml><?xml version="1.0" encoding="utf-8"?>
<Properties xmlns="http://schemas.openxmlformats.org/officeDocument/2006/custom-properties" xmlns:vt="http://schemas.openxmlformats.org/officeDocument/2006/docPropsVTypes"/>
</file>