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typology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[9, 39]. Our contribution is not the phenomenon but its first domain-specific,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w:t>
      </w:r>
    </w:p>
    <w:bookmarkEnd w:id="11"/>
    <w:bookmarkStart w:id="12" w:name="Xc4a3d29f5c03302f64052837ebb8bb0a41f0564"/>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w:t>
      </w:r>
      <w:r>
        <w:t xml:space="preserve"> </w:t>
      </w:r>
      <w:r>
        <w:rPr>
          <w:rStyle w:val="VerbatimChar"/>
        </w:rPr>
        <w:t xml:space="preserve">gemini-pro</w:t>
      </w:r>
      <w:r>
        <w:t xml:space="preserve"> </w:t>
      </w:r>
      <w:r>
        <w:t xml:space="preserve">was dropped for thinking-mode incompatibility and cost, and</w:t>
      </w:r>
      <w:r>
        <w:t xml:space="preserve"> </w:t>
      </w:r>
      <w:r>
        <w:rPr>
          <w:rStyle w:val="VerbatimChar"/>
        </w:rPr>
        <w:t xml:space="preserve">xai-grok</w:t>
      </w:r>
      <w:r>
        <w:t xml:space="preserve"> </w:t>
      </w:r>
      <w:r>
        <w:t xml:space="preserve">was dropped because the xAI account was out of credits before the full run. The final grid of five models from two providers is therefore the result of documented attrition rather than a two-provider design, and the loss of the third family is why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the ordering of the five models never changes.</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instead resolves ties by strict majority on both labels reproduces the submitted false-positive rates exactly, which locates the whole effect of the deviation on the miss axis, where miss rates rise from 12.0, 3.3, 3.7, 0.7 and 0.0% to 18.3, 8.3, 7.0, 2.0 and 0.0%.</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the eight typology strata are resampled as clusters and model labels are permuted within case, and the adjacent-tier contrasts are reported with cluster-robust bootstrap intervals over the same strata. Case-level</w:t>
      </w:r>
      <w:r>
        <w:t xml:space="preserve"> </w:t>
      </w:r>
      <m:oMath>
        <m:r>
          <m:t>P</m:t>
        </m:r>
      </m:oMath>
      <w: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typology strata) (Fig. </w:t>
      </w:r>
      <w:hyperlink w:anchor="fig:fp">
        <w:r>
          <w:rPr>
            <w:rStyle w:val="Hyperlink"/>
          </w:rPr>
          <w:t xml:space="preserve">2</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117.0</m:t>
        </m:r>
      </m:oMath>
      <w:r>
        <w:t xml:space="preserve">,</w:t>
      </w:r>
      <w:r>
        <w:t xml:space="preserve"> </w:t>
      </w:r>
      <m:oMath>
        <m:r>
          <m:rPr>
            <m:sty m:val="p"/>
          </m:rPr>
          <m:t>d</m:t>
        </m:r>
        <m:r>
          <m:rPr>
            <m:sty m:val="p"/>
          </m:rPr>
          <m:t>f</m:t>
        </m:r>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 Because cases generated from a shared typology template are not independent, the same null was also tested by a permutation procedure that resamples the eight typology strata as clusters;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3</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3</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4</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1</w:t>
        </w:r>
      </w:hyperlink>
      <w:r>
        <w:t xml:space="preserve">), because true positives occupy a growing share of the queue for the low-false-positive models as prevalence rises. Precision moves over the same range from 0.4% to 27.1%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0.3%</w:t>
      </w:r>
      <m:oMath>
        <m:r>
          <m:rPr>
            <m:sty m:val="p"/>
          </m:rPr>
          <m:t>→</m:t>
        </m:r>
      </m:oMath>
      <w:r>
        <w:t xml:space="preserve">7.7%, GPT-4.1-mini 20.7%</w:t>
      </w:r>
      <m:oMath>
        <m:r>
          <m:rPr>
            <m:sty m:val="p"/>
          </m:rPr>
          <m:t>→</m:t>
        </m:r>
      </m:oMath>
      <w:r>
        <w:t xml:space="preserve">36.7%, Gemini Flash-Lite 24.7%</w:t>
      </w:r>
      <m:oMath>
        <m:r>
          <m:rPr>
            <m:sty m:val="p"/>
          </m:rPr>
          <m:t>→</m:t>
        </m:r>
      </m:oMath>
      <w:r>
        <w:t xml:space="preserve">44.0%, and GPT-4o-mini 78.7%</w:t>
      </w:r>
      <m:oMath>
        <m:r>
          <m:rPr>
            <m:sty m:val="p"/>
          </m:rPr>
          <m:t>→</m:t>
        </m:r>
      </m:oMath>
      <w:r>
        <w:t xml:space="preserve">85.0%.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Scott’s</w:t>
      </w:r>
      <w:r>
        <w:t xml:space="preserve"> </w:t>
      </w:r>
      <m:oMath>
        <m:r>
          <m:t>π</m:t>
        </m:r>
      </m:oMath>
      <w:r>
        <w:t xml:space="preserve"> </w:t>
      </w:r>
      <w:r>
        <w:t xml:space="preserve">and Gwet’s AC1 gave consistent conclusions.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A provider main effect therefore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typology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33"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rates exactly, which locates the effect of the deviation on the miss axis alone.</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rates exactly, which locates the effect of the deviation on the miss axis alone."/>
      </w:tblPr>
      <w:tblGrid>
        <w:gridCol w:w="1131"/>
        <w:gridCol w:w="1131"/>
        <w:gridCol w:w="1131"/>
        <w:gridCol w:w="1131"/>
        <w:gridCol w:w="1131"/>
        <w:gridCol w:w="1131"/>
        <w:gridCol w:w="1131"/>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Start w:id="32" w:name="fig:sweep"/>
    <w:p>
      <w:pPr>
        <w:pStyle w:val="CaptionedFigure"/>
      </w:pPr>
      <w:r>
        <w:drawing>
          <wp:inline>
            <wp:extent cx="5067300" cy="2737586"/>
            <wp:effectExtent b="0" l="0" r="0" t="0"/>
            <wp:docPr descr="" title="" id="30" name="Picture"/>
            <a:graphic>
              <a:graphicData uri="http://schemas.openxmlformats.org/drawingml/2006/picture">
                <pic:pic>
                  <pic:nvPicPr>
                    <pic:cNvPr descr="fig6_prevalence_sweep.png" id="31" name="Picture"/>
                    <pic:cNvPicPr>
                      <a:picLocks noChangeArrowheads="1" noChangeAspect="1"/>
                    </pic:cNvPicPr>
                  </pic:nvPicPr>
                  <pic:blipFill>
                    <a:blip r:embed="rId29"/>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32"/>
    <w:bookmarkEnd w:id="33"/>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7" w:name="fig:fp"/>
    <w:p>
      <w:pPr>
        <w:pStyle w:val="CaptionedFigure"/>
      </w:pPr>
      <w:r>
        <w:drawing>
          <wp:inline>
            <wp:extent cx="3840480" cy="2416403"/>
            <wp:effectExtent b="0" l="0" r="0" t="0"/>
            <wp:docPr descr="" title="" id="35" name="Picture"/>
            <a:graphic>
              <a:graphicData uri="http://schemas.openxmlformats.org/drawingml/2006/picture">
                <pic:pic>
                  <pic:nvPicPr>
                    <pic:cNvPr descr="fig1_fp_by_model.png" id="36" name="Picture"/>
                    <pic:cNvPicPr>
                      <a:picLocks noChangeArrowheads="1" noChangeAspect="1"/>
                    </pic:cNvPicPr>
                  </pic:nvPicPr>
                  <pic:blipFill>
                    <a:blip r:embed="rId34"/>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7"/>
    <w:bookmarkStart w:id="41" w:name="fig:ops"/>
    <w:p>
      <w:pPr>
        <w:pStyle w:val="CaptionedFigure"/>
      </w:pPr>
      <w:r>
        <w:drawing>
          <wp:inline>
            <wp:extent cx="3307080" cy="2613081"/>
            <wp:effectExtent b="0" l="0" r="0" t="0"/>
            <wp:docPr descr="" title="" id="39" name="Picture"/>
            <a:graphic>
              <a:graphicData uri="http://schemas.openxmlformats.org/drawingml/2006/picture">
                <pic:pic>
                  <pic:nvPicPr>
                    <pic:cNvPr descr="fig2_operating_points.png" id="40" name="Picture"/>
                    <pic:cNvPicPr>
                      <a:picLocks noChangeArrowheads="1" noChangeAspect="1"/>
                    </pic:cNvPicPr>
                  </pic:nvPicPr>
                  <pic:blipFill>
                    <a:blip r:embed="rId38"/>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41"/>
    <w:bookmarkStart w:id="45" w:name="fig:vol"/>
    <w:p>
      <w:pPr>
        <w:pStyle w:val="CaptionedFigure"/>
      </w:pPr>
      <w:r>
        <w:drawing>
          <wp:inline>
            <wp:extent cx="3840480" cy="2425198"/>
            <wp:effectExtent b="0" l="0" r="0" t="0"/>
            <wp:docPr descr="" title="" id="43" name="Picture"/>
            <a:graphic>
              <a:graphicData uri="http://schemas.openxmlformats.org/drawingml/2006/picture">
                <pic:pic>
                  <pic:nvPicPr>
                    <pic:cNvPr descr="fig3_alert_volume.png" id="44" name="Picture"/>
                    <pic:cNvPicPr>
                      <a:picLocks noChangeArrowheads="1" noChangeAspect="1"/>
                    </pic:cNvPicPr>
                  </pic:nvPicPr>
                  <pic:blipFill>
                    <a:blip r:embed="rId42"/>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4,200 to about 830,000 alerts on identical activity</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3</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2026-10-16T00:04:18Z</dcterms:created>
  <dcterms:modified xsi:type="dcterms:W3CDTF">2026-10-16T00:04:18Z</dcterms:modified>
</cp:coreProperties>
</file>

<file path=docProps/custom.xml><?xml version="1.0" encoding="utf-8"?>
<Properties xmlns="http://schemas.openxmlformats.org/officeDocument/2006/custom-properties" xmlns:vt="http://schemas.openxmlformats.org/officeDocument/2006/docPropsVTypes"/>
</file>