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 scenario of one million transactions per day, the observed operating points differed by about 200-fold in projected daily alert workload. These findings show that foundation-model choice is</w:t>
      </w:r>
      <w:r>
        <w:t xml:space="preserve"> </w:t>
      </w:r>
      <w:r>
        <w:rPr>
          <w:highlight w:val="yellow"/>
        </w:rPr>
        <w:t xml:space="preserve">accuracy levels. At one million transactions per day under low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 typology</w:t>
      </w:r>
      <w:r>
        <w:t xml:space="preserve"> </w:t>
      </w:r>
      <w:r>
        <w:rPr>
          <w:highlight w:val="yellow"/>
        </w:rPr>
        <w:t xml:space="preserve">71.8–93.7; cluster bootstrap over the eight case-template</w:t>
      </w:r>
      <w:r>
        <w:t xml:space="preserve"> </w:t>
      </w:r>
      <w:r>
        <w:t xml:space="preserve">strata) (Fig. </w:t>
      </w:r>
      <w:hyperlink w:anchor="fig:fp">
        <w:r>
          <w:rPr>
            <w:rStyle w:val="Hyperlink"/>
          </w:rPr>
          <w:t xml:space="preserve">1</w:t>
        </w:r>
      </w:hyperlink>
      <w:r>
        <w:t xml:space="preserve">; Table </w:t>
      </w:r>
      <w:hyperlink w:anchor="tab:ops">
        <w:r>
          <w:rPr>
            <w:rStyle w:val="Hyperlink"/>
          </w:rPr>
          <w:t xml:space="preserve">2</w:t>
        </w:r>
      </w:hyperlink>
      <w:r>
        <w:t xml:space="preserve">).</w:t>
      </w:r>
      <w:r>
        <w:t xml:space="preserve"> </w:t>
      </w:r>
      <w:r>
        <w:rPr>
          <w:strike/>
        </w:rPr>
        <w:t xml:space="preserve">The overall difference among the five models was highly significant when evaluated on the same legitimate cases as paired binary classifications (Cochran’s</w:t>
      </w:r>
      <w:r>
        <w:rPr>
          <w:strike/>
        </w:rP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rPr>
          <w:strike/>
        </w:rPr>
        <w:t xml:space="preserve">).</w:t>
      </w:r>
      <w:r>
        <w:t xml:space="preserve"> </w:t>
      </w:r>
      <w:r>
        <w:rPr>
          <w:highlight w:val="yellow"/>
        </w:rPr>
        <w:t xml:space="preserve">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w:t>
      </w:r>
      <w:r>
        <w:t xml:space="preserve"> </w:t>
      </w:r>
      <w:r>
        <w:t xml:space="preserve">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w:t>
      </w:r>
      <w:r>
        <w:t xml:space="preserve"> </w:t>
      </w:r>
      <w:r>
        <w:rPr>
          <w:strike/>
        </w:rPr>
        <w:t xml:space="preserve">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r>
        <w:t xml:space="preserve"> </w:t>
      </w:r>
      <w:r>
        <w:rPr>
          <w:strike/>
        </w:rPr>
        <w:t xml:space="preserve">A</w:t>
      </w:r>
      <w:r>
        <w:t xml:space="preserve"> </w:t>
      </w:r>
      <w:r>
        <w:t xml:space="preserve">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w:t>
      </w:r>
      <w:r>
        <w:t xml:space="preserve"> </w:t>
      </w:r>
      <w:r>
        <w:rPr>
          <w:strike/>
        </w:rPr>
        <w:t xml:space="preserve">12,000-call response corpus</w:t>
      </w:r>
      <w:r>
        <w:t xml:space="preserve"> </w:t>
      </w:r>
      <w:r>
        <w:rPr>
          <w:highlight w:val="yellow"/>
        </w:rPr>
        <w:t xml:space="preserve">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w:t>
      </w:r>
      <w:r>
        <w:t xml:space="preserve"> </w:t>
      </w:r>
      <w:r>
        <w:rPr>
          <w:highlight w:val="yellow"/>
        </w:rPr>
        <w:t xml:space="preserve">identifier (for the Google models, the alias string only),</w:t>
      </w:r>
      <w:r>
        <w:t xml:space="preserve"> </w:t>
      </w:r>
      <w:r>
        <w:t xml:space="preserve">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2026-10-16T18:40:44Z</dcterms:created>
  <dcterms:modified xsi:type="dcterms:W3CDTF">2026-10-16T18:40:44Z</dcterms:modified>
</cp:coreProperties>
</file>

<file path=docProps/custom.xml><?xml version="1.0" encoding="utf-8"?>
<Properties xmlns="http://schemas.openxmlformats.org/officeDocument/2006/custom-properties" xmlns:vt="http://schemas.openxmlformats.org/officeDocument/2006/docPropsVTypes"/>
</file>