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1.png" ContentType="image/png"/>
  <Override PartName="/word/media/rId43.png" ContentType="image/png"/>
  <Override PartName="/word/media/rId45.png" ContentType="image/png"/>
  <Override PartName="/word/media/rId47.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w:t>
      </w:r>
      <w:r>
        <w:t xml:space="preserve"> </w:t>
      </w:r>
      <w:r>
        <w:t xml:space="preserve">foundation</w:t>
      </w:r>
      <w:r>
        <w:t xml:space="preserve"> </w:t>
      </w:r>
      <w:r>
        <w:t xml:space="preserve">model</w:t>
      </w:r>
      <w:r>
        <w:t xml:space="preserve"> </w:t>
      </w:r>
      <w:r>
        <w:t xml:space="preserve">choice</w:t>
      </w:r>
      <w:r>
        <w:t xml:space="preserve"> </w:t>
      </w:r>
      <w:r>
        <w:t xml:space="preserve">and</w:t>
      </w:r>
      <w:r>
        <w:t xml:space="preserve"> </w:t>
      </w:r>
      <w:r>
        <w:t xml:space="preserve">false</w:t>
      </w:r>
      <w:r>
        <w:t xml:space="preserve"> </w:t>
      </w:r>
      <w:r>
        <w:t xml:space="preserve">positive</w:t>
      </w:r>
      <w:r>
        <w:t xml:space="preserve"> </w:t>
      </w:r>
      <w:r>
        <w:t xml:space="preserve">variation</w:t>
      </w:r>
      <w:r>
        <w:t xml:space="preserve"> </w:t>
      </w:r>
      <w:r>
        <w:t xml:space="preserve">in</w:t>
      </w:r>
      <w:r>
        <w:t xml:space="preserve"> </w:t>
      </w:r>
      <w:r>
        <w:t xml:space="preserve">Anti</w:t>
      </w:r>
      <w:r>
        <w:t xml:space="preserve"> </w:t>
      </w:r>
      <w:r>
        <w:t xml:space="preserve">Money</w:t>
      </w:r>
      <w:r>
        <w:t xml:space="preserve"> </w:t>
      </w:r>
      <w:r>
        <w:t xml:space="preserve">Laundering</w:t>
      </w:r>
      <w:r>
        <w:t xml:space="preserve"> </w:t>
      </w:r>
      <w:r>
        <w:t xml:space="preserve">transaction</w:t>
      </w:r>
      <w:r>
        <w:t xml:space="preserve"> </w:t>
      </w:r>
      <w:r>
        <w:t xml:space="preserve">screening</w:t>
      </w:r>
    </w:p>
    <w:p>
      <w:pPr>
        <w:pStyle w:val="Heading1"/>
      </w:pPr>
      <w:bookmarkStart w:id="20" w:name="abstract"/>
      <w:r>
        <w:t xml:space="preserve">Abstract</w:t>
      </w:r>
      <w:bookmarkEnd w:id="20"/>
    </w:p>
    <w:p>
      <w:pPr>
        <w:pStyle w:val="FirstParagraph"/>
      </w:pPr>
      <w:r>
        <w:t xml:space="preserve">Large language models (LLMs) are increasingly considered for anti-money-laundering (AML) transaction screening, but the operational implications of choosing one foundation model over another are poorly quantified. This study investigates how foundation-model selection affects the screening operating point for a fixed task, transaction cases and evaluation procedure. We tested five off-the-shelf foundation models from two providers as zero-shot AML screeners, using a preregistered, fully reproducible battery of 600 synthetic transaction cases anchored on established laundering typologies, with equal numbers of suspicious cases and legitimate hard negatives designed to resemble common alert patterns. For the same 300 legitimate cases, false-positive rates ranged from 0.3% to 83.0%—an 82.7 percentage-point spread—and the models disagreed on 85.7% of legitimate cases. The differences were systematic: false-positive rates decreased monotonically with model tier within each provider family, so that smaller, lower-tier models substantially over-flagged legitimate activity relative to their more capable counterparts. The models therefore occupied quite different points along the sensitivity–specificity trade-off, not merely different levels of accuracy. In an illustrative low-prevalence scenario of one million transactions per day, the observed operating points differed by about 200-fold in projected daily alert workload. These findings show that foundation-model choice is not merely an AML procurement or implementation decision but a core operational risk parameter. Because commercially accessed models may be updated, substituted, repriced or retired by providers, model identity and operating-point stability should be explicitly incorporated into model-risk governance, validation and ongoing monitoring.</w:t>
      </w:r>
    </w:p>
    <w:p>
      <w:pPr>
        <w:pStyle w:val="BodyText"/>
      </w:pPr>
      <w:r>
        <w:rPr>
          <w:b/>
        </w:rPr>
        <w:t xml:space="preserve">Keywords:</w:t>
      </w:r>
      <w:r>
        <w:t xml:space="preserve"> </w:t>
      </w:r>
      <w:r>
        <w:t xml:space="preserve">anti-money laundering, foundation models, false positives, model risk, large language models, transaction monitoring</w:t>
      </w:r>
    </w:p>
    <w:p>
      <w:pPr>
        <w:pStyle w:val="Heading1"/>
      </w:pPr>
      <w:bookmarkStart w:id="21" w:name="sec:intro"/>
      <w:r>
        <w:t xml:space="preserve">Introduction</w:t>
      </w:r>
      <w:bookmarkEnd w:id="21"/>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39].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37, 41, 43]. Large language models (LLMs) and other general-purpose foundation models—trained on broad data and adapted to many tasks through natural-language instructions [8, 9]—have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43],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w:t>
      </w:r>
      <w:r>
        <w:t xml:space="preserve">better</w:t>
      </w:r>
      <w:r>
        <w:t xml:space="preserve">”</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37] and predictive or graph-based AML monitoring [24, 35].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any direct measurement of this cross-model divergence at scale under a controlled AML screening design.</w:t>
      </w:r>
    </w:p>
    <w:p>
      <w:pPr>
        <w:pStyle w:val="BodyText"/>
      </w:pPr>
      <w:r>
        <w:t xml:space="preserve">The study therefore asks a different question from traditional model-comparison research:</w:t>
      </w:r>
      <w:r>
        <w:t xml:space="preserve"> </w:t>
      </w:r>
      <w:r>
        <w:rPr>
          <w:i/>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[33, 40].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rPr>
        <w:t xml:space="preserve">Controlled measurement of foundation-model selection risk.</w:t>
      </w:r>
      <w:r>
        <w:t xml:space="preserve"> </w:t>
      </w:r>
      <w:r>
        <w:t xml:space="preserve">To the best of our knowledge, this is the first study to control foundation-model identity as the experimental variable in AML transaction screening while fixing the task and transaction cases.</w:t>
      </w:r>
    </w:p>
    <w:p>
      <w:pPr>
        <w:numPr>
          <w:ilvl w:val="0"/>
          <w:numId w:val="1001"/>
        </w:numPr>
      </w:pPr>
      <w:r>
        <w:rPr>
          <w:i/>
        </w:rPr>
        <w:t xml:space="preserve">Operational impact quantification.</w:t>
      </w:r>
      <w:r>
        <w:t xml:space="preserve"> </w:t>
      </w:r>
      <w:r>
        <w:t xml:space="preserve">We quantify differences in false-positive and miss rates via paired statistical tests and uncertainty estimates, compare the resulting operating points to non-LLM baselines, and translate the differences into expected alert workload under an illustrative low-prevalence operating scenario.</w:t>
      </w:r>
    </w:p>
    <w:p>
      <w:pPr>
        <w:numPr>
          <w:ilvl w:val="0"/>
          <w:numId w:val="1001"/>
        </w:numPr>
      </w:pPr>
      <w:r>
        <w:rPr>
          <w:i/>
        </w:rPr>
        <w:t xml:space="preserve">A foundation-model-swap interpretation of model governance.</w:t>
      </w:r>
      <w:r>
        <w:t xml:space="preserve"> </w:t>
      </w:r>
      <w:r>
        <w:t xml:space="preserve">We identify model selection and provider-driven model substitution as measurable model-risk variables and argue that the specific model snapshot and its operating point should be part of model inventories, validation procedures and ongoing monitoring.</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p>
      <w:pPr>
        <w:pStyle w:val="Heading1"/>
      </w:pPr>
      <w:bookmarkStart w:id="22" w:name="sec:methods"/>
      <w:r>
        <w:t xml:space="preserve">Methods</w:t>
      </w:r>
      <w:bookmarkEnd w:id="22"/>
    </w:p>
    <w:p>
      <w:pPr>
        <w:pStyle w:val="Heading2"/>
      </w:pPr>
      <w:bookmarkStart w:id="23" w:name="study-design-and-case-battery"/>
      <w:r>
        <w:t xml:space="preserve">Study design and case battery</w:t>
      </w:r>
      <w:bookmarkEnd w:id="23"/>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[33, 40].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Heading2"/>
      </w:pPr>
      <w:bookmarkStart w:id="24" w:name="Xc4a3d29f5c03302f64052837ebb8bb0a41f0564"/>
      <w:r>
        <w:t xml:space="preserve">Foundation models and screening procedure</w:t>
      </w:r>
      <w:bookmarkEnd w:id="24"/>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The exact model served behind each Google alias at the collection date (July 2026) is recorded in the archived per-call response metadata (see Data availability), rather than inferred from the alias.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effect—a known source of variation in LLM behaviour [38]—each case was tested with two versions of the supervisory prompt: a short instruction for a compliance officer, and a more elaborate instruction aware of the FATF typologies. Each prompt setting was run twice with different random seeds. The complete design therefore comprised</w:t>
      </w:r>
      <w:r>
        <w:t xml:space="preserve"> </w:t>
      </w:r>
      <m:oMath>
        <m:r>
          <m:t>5</m:t>
        </m:r>
        <m:r>
          <m:rPr>
            <m:nor/>
            <m:sty m:val="p"/>
          </m:rPr>
          <m:t> models</m:t>
        </m:r>
        <m:r>
          <m:t>×</m:t>
        </m:r>
        <m:r>
          <m:t>2</m:t>
        </m:r>
        <m:r>
          <m:rPr>
            <m:nor/>
            <m:sty m:val="p"/>
          </m:rPr>
          <m:t> prompt formulations</m:t>
        </m:r>
        <m:r>
          <m:t>×</m:t>
        </m:r>
        <m:r>
          <m:t>2</m:t>
        </m:r>
        <m:r>
          <m:rPr>
            <m:nor/>
            <m:sty m:val="p"/>
          </m:rPr>
          <m:t> seeds</m:t>
        </m:r>
        <m:r>
          <m:t>×</m:t>
        </m:r>
        <m:r>
          <m:t>600</m:t>
        </m:r>
        <m:r>
          <m:rPr>
            <m:nor/>
            <m:sty m:val="p"/>
          </m:rPr>
          <m:t> cases</m:t>
        </m:r>
        <m:r>
          <m:t>=</m:t>
        </m:r>
        <m:r>
          <m:t>12</m:t>
        </m:r>
        <m:r>
          <m:t>,</m:t>
        </m:r>
        <m:r>
          <m:t>000</m:t>
        </m:r>
      </m:oMath>
      <w:r>
        <w:t xml:space="preserve"> </w:t>
      </w:r>
      <w:r>
        <w:t xml:space="preserve">screening calls.</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p>
      <w:pPr>
        <w:pStyle w:val="Heading2"/>
      </w:pPr>
      <w:bookmarkStart w:id="25" w:name="endpoints-and-statistical-analysis"/>
      <w:r>
        <w:t xml:space="preserve">Endpoints and statistical analysis</w:t>
      </w:r>
      <w:bookmarkEnd w:id="25"/>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t>=</m:t>
        </m:r>
        <m:r>
          <m:t>5</m:t>
        </m:r>
      </m:oMath>
      <w:r>
        <w:t xml:space="preserve"> </w:t>
      </w:r>
      <w:r>
        <w:t xml:space="preserve">models,</w:t>
      </w:r>
      <w:r>
        <w:t xml:space="preserve"> </w:t>
      </w:r>
      <m:oMath>
        <m:r>
          <m:t>n</m:t>
        </m:r>
        <m:r>
          <m:t>=</m:t>
        </m:r>
        <m:r>
          <m:t>300</m:t>
        </m:r>
      </m:oMath>
      <w:r>
        <w:t xml:space="preserve"> </w:t>
      </w:r>
      <w:r>
        <w:t xml:space="preserve">legitimate cases,</w:t>
      </w:r>
      <w:r>
        <w:t xml:space="preserve"> </w:t>
      </w:r>
      <m:oMath>
        <m:r>
          <m:t>k</m:t>
        </m:r>
        <m:r>
          <m:t>−</m:t>
        </m:r>
        <m:r>
          <m:t>1</m:t>
        </m:r>
        <m: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t>=</m:t>
        </m:r>
        <m:r>
          <m:t>0.05</m:t>
        </m:r>
      </m:oMath>
      <w:r>
        <w:t xml:space="preserve">. To control the family-wise error rate, a Bonferroni correction was applied across the ten pairwise comparisons among the five models.</w:t>
      </w:r>
    </w:p>
    <w:p>
      <w:pPr>
        <w:pStyle w:val="BodyText"/>
      </w:pPr>
      <w:r>
        <w:t xml:space="preserve">Proportions such as false-positive and miss rates are reported with 95% Wilson score confidence intervals [42]. For quantities whose uncertainty was composition-dependent across typology strata (cross-model spread, disagreement metrics and typology-level rates), additional 95% percentile bootstrap confidence intervals were constructed via cluster resampling over the eight typology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w:t>
      </w:r>
      <w:r>
        <w:t xml:space="preserve">significant</w:t>
      </w:r>
      <w:r>
        <w:t xml:space="preserve">”</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statistics—Cohen’s</w:t>
      </w:r>
      <w:r>
        <w:t xml:space="preserve"> </w:t>
      </w:r>
      <m:oMath>
        <m:r>
          <m:t>κ</m:t>
        </m:r>
      </m:oMath>
      <w:r>
        <w:t xml:space="preserve">, Scott’s</w:t>
      </w:r>
      <w:r>
        <w:t xml:space="preserve"> </w:t>
      </w:r>
      <m:oMath>
        <m:r>
          <m:t>π</m:t>
        </m:r>
      </m:oMath>
      <w:r>
        <w:t xml:space="preserve"> </w:t>
      </w:r>
      <w:r>
        <w:t xml:space="preserve">and Gwet’s AC1 [21]—particularly in the preregistered secondary analysis of whether the models exhibited correlated misses consistent with an algorithmic-monoculture hypothesis. For the within-provider comparison,</w:t>
      </w:r>
      <w:r>
        <w:t xml:space="preserve"> </w:t>
      </w:r>
      <w:r>
        <w:t xml:space="preserve">“</w:t>
      </w:r>
      <w:r>
        <w:t xml:space="preserve">model tier</w:t>
      </w:r>
      <w:r>
        <w:t xml:space="preserve">”</w:t>
      </w:r>
      <w:r>
        <w:t xml:space="preserve"> </w:t>
      </w:r>
      <w:r>
        <w:t xml:space="preserve">follows each provider’s contemporaneous capability/product and price positioning at the time of data collection—the per-model product identifiers and list prices are recorded in the archived model registry (</w:t>
      </w:r>
      <w:r>
        <w:rPr>
          <w:rStyle w:val="VerbatimChar"/>
        </w:rPr>
        <w:t xml:space="preserve">data/configs/models.yaml</w:t>
      </w:r>
      <w:r>
        <w:t xml:space="preserve">)—and is used only within provider families, not as a universal cross-provider capability scale.</w:t>
      </w:r>
    </w:p>
    <w:p>
      <w:pPr>
        <w:pStyle w:val="Heading2"/>
      </w:pPr>
      <w:bookmarkStart w:id="26" w:name="non-llm-baselines"/>
      <w:r>
        <w:t xml:space="preserve">Non-LLM baselines</w:t>
      </w:r>
      <w:bookmarkEnd w:id="26"/>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p>
      <w:pPr>
        <w:pStyle w:val="Heading2"/>
      </w:pPr>
      <w:bookmarkStart w:id="27" w:name="operational-load-projection"/>
      <w:r>
        <w:t xml:space="preserve">Operational load projection</w:t>
      </w:r>
      <w:bookmarkEnd w:id="27"/>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t>=</m:t>
        </m:r>
        <m:r>
          <m:t>1</m:t>
        </m:r>
        <m:r>
          <m:t>,</m:t>
        </m:r>
        <m:r>
          <m:t>000</m:t>
        </m:r>
        <m:r>
          <m:t>,</m:t>
        </m:r>
        <m:r>
          <m:t>000</m:t>
        </m:r>
      </m:oMath>
      <w:r>
        <w:t xml:space="preserve"> </w:t>
      </w:r>
      <w:r>
        <w:t xml:space="preserve">transactions per day at a suspicious-activity prevalence of</w:t>
      </w:r>
      <w:r>
        <w:t xml:space="preserve"> </w:t>
      </w:r>
      <m:oMath>
        <m:r>
          <m:t>p</m:t>
        </m:r>
        <m: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t>=</m:t>
          </m:r>
          <m:r>
            <m:rPr>
              <m:sty m:val="p"/>
            </m:rPr>
            <m:t>F</m:t>
          </m:r>
          <m:r>
            <m:rPr>
              <m:sty m:val="p"/>
            </m:rPr>
            <m:t>P</m:t>
          </m:r>
          <m:r>
            <m:t>⋅</m:t>
          </m:r>
          <m:r>
            <m:t>N</m:t>
          </m:r>
          <m:r>
            <m:t>(</m:t>
          </m:r>
          <m:r>
            <m:t>1</m:t>
          </m:r>
          <m:r>
            <m:t>−</m:t>
          </m:r>
          <m:r>
            <m:t>p</m:t>
          </m:r>
          <m:r>
            <m:t>)</m:t>
          </m:r>
          <m:r>
            <m:t>+</m:t>
          </m:r>
          <m:r>
            <m:t>(</m:t>
          </m:r>
          <m:r>
            <m:t>1</m:t>
          </m:r>
          <m:r>
            <m:t>−</m:t>
          </m:r>
          <m:r>
            <m:rPr>
              <m:sty m:val="p"/>
            </m:rPr>
            <m:t>M</m:t>
          </m:r>
          <m:r>
            <m:rPr>
              <m:sty m:val="p"/>
            </m:rPr>
            <m:t>i</m:t>
          </m:r>
          <m:r>
            <m:rPr>
              <m:sty m:val="p"/>
            </m:rPr>
            <m:t>s</m:t>
          </m:r>
          <m:r>
            <m:rPr>
              <m:sty m:val="p"/>
            </m:rPr>
            <m:t>s</m:t>
          </m:r>
          <m:r>
            <m:t>)</m:t>
          </m:r>
          <m:r>
            <m:t>⋅</m:t>
          </m:r>
          <m:r>
            <m:t>N</m:t>
          </m:r>
          <m:r>
            <m:t>p</m:t>
          </m:r>
          <m: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t>=</m:t>
          </m:r>
          <m:r>
            <m:rPr>
              <m:sty m:val="p"/>
            </m:rPr>
            <m:t>F</m:t>
          </m:r>
          <m:r>
            <m:rPr>
              <m:sty m:val="p"/>
            </m:rPr>
            <m:t>P</m:t>
          </m:r>
          <m:r>
            <m:t>⋅</m:t>
          </m:r>
          <m:r>
            <m:t>N</m:t>
          </m:r>
          <m:r>
            <m:t>(</m:t>
          </m:r>
          <m:r>
            <m:t>1</m:t>
          </m:r>
          <m:r>
            <m:t>−</m:t>
          </m:r>
          <m:r>
            <m:t>p</m:t>
          </m:r>
          <m:r>
            <m:t>)</m:t>
          </m:r>
          <m: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p>
      <w:pPr>
        <w:pStyle w:val="Heading2"/>
      </w:pPr>
      <w:bookmarkStart w:id="28" w:name="Xafc33a39e826b1d86ffa41b0b0018437257c3be"/>
      <w:r>
        <w:t xml:space="preserve">Software, preregistration and reproducibility</w:t>
      </w:r>
      <w:bookmarkEnd w:id="28"/>
    </w:p>
    <w:p>
      <w:pPr>
        <w:pStyle w:val="FirstParagraph"/>
      </w:pPr>
      <w:r>
        <w:t xml:space="preserve">The analysis was performed in Python 3.12 with NumPy 2.2.6, scikit-learn 1.7.2 [34],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p>
      <w:pPr>
        <w:pStyle w:val="Heading1"/>
      </w:pPr>
      <w:bookmarkStart w:id="29" w:name="sec:results"/>
      <w:r>
        <w:t xml:space="preserve">Results</w:t>
      </w:r>
      <w:bookmarkEnd w:id="29"/>
    </w:p>
    <w:p>
      <w:pPr>
        <w:pStyle w:val="Heading2"/>
      </w:pPr>
      <w:bookmarkStart w:id="30" w:name="sec:fpspread"/>
      <w:r>
        <w:t xml:space="preserve">Foundation models show large differences in false-positive rates on identical legitimate cases</w:t>
      </w:r>
      <w:bookmarkEnd w:id="30"/>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0.3% (1 of 300 cases) for Gemini Flash to 83.0% (249 of 300 cases) for GPT-4o-mini. The resulting cross-model spread was 82.7 percentage points (95% confidence interval [CI] 69.2–95.3; cluster bootstrap over typology strata) (Fig. </w:t>
      </w:r>
      <w:hyperlink w:anchor="fig:fp">
        <w:r>
          <w:rPr>
            <w:rStyle w:val="Hyperlink"/>
          </w:rPr>
          <w:t xml:space="preserve">1</w:t>
        </w:r>
      </w:hyperlink>
      <w:r>
        <w:t xml:space="preserve">; Table </w:t>
      </w:r>
      <w:hyperlink w:anchor="tab:ops">
        <w:r>
          <w:rPr>
            <w:rStyle w:val="Hyperlink"/>
          </w:rPr>
          <w:t xml:space="preserve">1</w:t>
        </w:r>
      </w:hyperlink>
      <w:r>
        <w:t xml:space="preserve">). The overall difference among the five models was highly significant when evaluated on the same legitimate cases as paired binary classifications (Cochran’s</w:t>
      </w:r>
      <w:r>
        <w:t xml:space="preserve"> </w:t>
      </w:r>
      <m:oMath>
        <m:r>
          <m:t>Q</m:t>
        </m:r>
        <m:r>
          <m:t>=</m:t>
        </m:r>
        <m:r>
          <m:t>131.6</m:t>
        </m:r>
      </m:oMath>
      <w:r>
        <w:t xml:space="preserve">,</w:t>
      </w:r>
      <w:r>
        <w:t xml:space="preserve"> </w:t>
      </w:r>
      <m:oMath>
        <m:r>
          <m:rPr>
            <m:sty m:val="p"/>
          </m:rPr>
          <m:t>d</m:t>
        </m:r>
        <m:r>
          <m:rPr>
            <m:sty m:val="p"/>
          </m:rPr>
          <m:t>f</m:t>
        </m:r>
        <m:r>
          <m:t>=</m:t>
        </m:r>
        <m:r>
          <m:t>4</m:t>
        </m:r>
      </m:oMath>
      <w:r>
        <w:t xml:space="preserve">,</w:t>
      </w:r>
      <w:r>
        <w:t xml:space="preserve"> </w:t>
      </w:r>
      <m:oMath>
        <m:r>
          <m:t>P</m:t>
        </m:r>
        <m:r>
          <m:t>≈</m:t>
        </m:r>
        <m:r>
          <m:t>2</m:t>
        </m:r>
        <m:r>
          <m:t>×</m:t>
        </m:r>
        <m:sSup>
          <m:e>
            <m:r>
              <m:t>10</m:t>
            </m:r>
          </m:e>
          <m:sup>
            <m:r>
              <m:t>−</m:t>
            </m:r>
            <m:r>
              <m:t>27</m:t>
            </m:r>
          </m:sup>
        </m:sSup>
      </m:oMath>
      <w:r>
        <w:t xml:space="preserve">). Pairwise exact McNemar tests (Bonferroni-corrected across the ten possible model comparisons) compared every model pair on the same legitimate cases. Grouping the models by observed false-positive rate into a low pair (Gemini Flash, GPT-4o), an intermediate pair (GPT-4.1-mini, Gemini Flash-Lite), and GPT-4o-mini, all between-group comparisons were statistically significant after correction (</w:t>
      </w:r>
      <m:oMath>
        <m:r>
          <m:t>P</m:t>
        </m:r>
        <m:r>
          <m:t>&lt;</m:t>
        </m:r>
        <m:sSup>
          <m:e>
            <m:r>
              <m:t>10</m:t>
            </m:r>
          </m:e>
          <m:sup>
            <m:r>
              <m:t>−</m:t>
            </m:r>
            <m:r>
              <m:t>18</m:t>
            </m:r>
          </m:sup>
        </m:sSup>
      </m:oMath>
      <w:r>
        <w:t xml:space="preserve">), whereas the two within-group comparisons were not statistically significant (</w:t>
      </w:r>
      <m:oMath>
        <m:r>
          <m:t>P</m:t>
        </m:r>
        <m:r>
          <m:t>=</m:t>
        </m:r>
        <m:r>
          <m:t>1.0</m:t>
        </m:r>
      </m:oMath>
      <w:r>
        <w:t xml:space="preserve">) (Table </w:t>
      </w:r>
      <w:hyperlink w:anchor="tab:mcnemar">
        <w:r>
          <w:rPr>
            <w:rStyle w:val="Hyperlink"/>
          </w:rPr>
          <w:t xml:space="preserve">2</w:t>
        </w:r>
      </w:hyperlink>
      <w:r>
        <w:t xml:space="preserve">).</w:t>
      </w:r>
    </w:p>
    <w:p>
      <w:pPr>
        <w:pStyle w:val="BodyText"/>
      </w:pPr>
      <w:r>
        <w:t xml:space="preserve">The difference was not limited to aggregate rates. The five models did not screen unanimously on 85.7% of the legitimate cases (95% CI 75.1–95.4).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p>
      <w:pPr>
        <w:pStyle w:val="Heading2"/>
      </w:pPr>
      <w:bookmarkStart w:id="31" w:name="sec:tier"/>
      <w:r>
        <w:t xml:space="preserve">False-positive rates decrease with model tier within both evaluated provider families</w:t>
      </w:r>
      <w:bookmarkEnd w:id="31"/>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1</w:t>
        </w:r>
      </w:hyperlink>
      <w:r>
        <w:t xml:space="preserve">). Across the three OpenAI models, the false-positive rate fell from 83.0% for GPT-4o-mini, to 23.7% for GPT-4.1-mini, to 1.0% for GPT-4o. Across the two Google models, it fell from 24.7% for Gemini Flash-Lite to 0.3% for Gemini Flash. In both provider families, the smaller, lower-tier model generated more false positives. This monotonic pattern should be understood only within the evaluated model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83.0% of legitimate cases. Gemini Flash, by contrast, had the lowest false-positive rate (0.3%)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58 percentage points in false-positive rate. In contrast, the two higher-tier models, GPT-4o and Gemini Flash, converged near zero false positives, at 1.0% and 0.3% respectively.</w:t>
      </w:r>
    </w:p>
    <w:p>
      <w:pPr>
        <w:pStyle w:val="Heading2"/>
      </w:pPr>
      <w:bookmarkStart w:id="32" w:name="sec:volume"/>
      <w:r>
        <w:t xml:space="preserve">The operating point translates into a large difference in alert workload</w:t>
      </w:r>
      <w:bookmarkEnd w:id="32"/>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4,200 alerts for Gemini Flash to approximately 830,000 alerts for GPT-4o-mini (Fig. </w:t>
      </w:r>
      <w:hyperlink w:anchor="fig:vol">
        <w:r>
          <w:rPr>
            <w:rStyle w:val="Hyperlink"/>
          </w:rPr>
          <w:t xml:space="preserve">3</w:t>
        </w:r>
      </w:hyperlink>
      <w:r>
        <w:t xml:space="preserve">; Table </w:t>
      </w:r>
      <w:hyperlink w:anchor="tab:vol">
        <w:r>
          <w:rPr>
            <w:rStyle w:val="Hyperlink"/>
          </w:rPr>
          <w:t xml:space="preserve">3</w:t>
        </w:r>
      </w:hyperlink>
      <w:r>
        <w:t xml:space="preserve">)—a difference in daily alert workload of about 197-fold on the same underlying transaction population. The contents of those alert queues also differed sharply. At the Gemini Flash operating point, the estimated precision was about 20.9%, versus about 0.12% at the GPT-4o-mini operating point; at the latter, about 999 of every 1,000 alerts would be expected to be false under the stated prevalence assumption. The operational effect of model selection is thus far greater than aggregate classification metrics alone would imply: a change in foundation model can alter not only detection behaviour but also the number and quality of cases presented to human investigators.</w:t>
      </w:r>
    </w:p>
    <w:p>
      <w:pPr>
        <w:pStyle w:val="Heading2"/>
      </w:pPr>
      <w:bookmarkStart w:id="33" w:name="sec:baselines"/>
      <w:r>
        <w:t xml:space="preserve">Comparison with non-LLM baselines</w:t>
      </w:r>
      <w:bookmarkEnd w:id="33"/>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much lower false-positive rates;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p>
      <w:pPr>
        <w:pStyle w:val="Heading2"/>
      </w:pPr>
      <w:bookmarkStart w:id="34" w:name="sec:typology"/>
      <w:r>
        <w:t xml:space="preserve">Misses by typology, prompt sensitivity, and cross-model agreement</w:t>
      </w:r>
      <w:bookmarkEnd w:id="34"/>
    </w:p>
    <w:p>
      <w:pPr>
        <w:pStyle w:val="FirstParagraph"/>
      </w:pPr>
      <w:r>
        <w:t xml:space="preserve">When model errors were analysed by laundering typology (Fig. </w:t>
      </w:r>
      <w:hyperlink w:anchor="fig:typ">
        <w:r>
          <w:rPr>
            <w:rStyle w:val="Hyperlink"/>
          </w:rPr>
          <w:t xml:space="preserve">4</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5</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t>→</m:t>
        </m:r>
      </m:oMath>
      <w:r>
        <w:t xml:space="preserve">2.3%, GPT-4o 0.3%</w:t>
      </w:r>
      <m:oMath>
        <m:r>
          <m:t>→</m:t>
        </m:r>
      </m:oMath>
      <w:r>
        <w:t xml:space="preserve">7.7%, GPT-4.1-mini 20.7%</w:t>
      </w:r>
      <m:oMath>
        <m:r>
          <m:t>→</m:t>
        </m:r>
      </m:oMath>
      <w:r>
        <w:t xml:space="preserve">36.7%, Gemini Flash-Lite 24.7%</w:t>
      </w:r>
      <m:oMath>
        <m:r>
          <m:t>→</m:t>
        </m:r>
      </m:oMath>
      <w:r>
        <w:t xml:space="preserve">44.0%, and GPT-4o-mini 78.7%</w:t>
      </w:r>
      <m:oMath>
        <m:r>
          <m:t>→</m:t>
        </m:r>
      </m:oMath>
      <w:r>
        <w:t xml:space="preserve">85.0%.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t>=</m:t>
        </m:r>
        <m:r>
          <m:t>0.072</m:t>
        </m:r>
      </m:oMath>
      <w:r>
        <w:t xml:space="preserve"> </w:t>
      </w:r>
      <w:r>
        <w:t xml:space="preserve">(range</w:t>
      </w:r>
      <w:r>
        <w:t xml:space="preserve"> </w:t>
      </w:r>
      <m:oMath>
        <m:r>
          <m:t>−</m:t>
        </m:r>
        <m:r>
          <m:t>0.011</m:t>
        </m:r>
      </m:oMath>
      <w:r>
        <w:t xml:space="preserve"> </w:t>
      </w:r>
      <w:r>
        <w:t xml:space="preserve">to</w:t>
      </w:r>
      <w:r>
        <w:t xml:space="preserve"> </w:t>
      </w:r>
      <m:oMath>
        <m:r>
          <m:t>0.26</m:t>
        </m:r>
      </m:oMath>
      <w:r>
        <w:t xml:space="preserve">); Scott’s</w:t>
      </w:r>
      <w:r>
        <w:t xml:space="preserve"> </w:t>
      </w:r>
      <m:oMath>
        <m:r>
          <m:t>π</m:t>
        </m:r>
      </m:oMath>
      <w:r>
        <w:t xml:space="preserve"> </w:t>
      </w:r>
      <w:r>
        <w:t xml:space="preserve">and Gwet’s AC1 gave consistent conclusions. The dominant cross-model phenomenon was therefore not a common set of missed suspicious cases, but a large divergence in the aggressiveness with which legitimate activity was escalated.</w:t>
      </w:r>
    </w:p>
    <w:p>
      <w:pPr>
        <w:pStyle w:val="Heading1"/>
      </w:pPr>
      <w:bookmarkStart w:id="35" w:name="sec:discussion"/>
      <w:r>
        <w:t xml:space="preserve">Discussion</w:t>
      </w:r>
      <w:bookmarkEnd w:id="35"/>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0.3% and 83.0% on the same legitimate cases, and the models disagreed on 85.7%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83%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an approximately 197-fold change in expected daily alert volume.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broader AI-governance frameworks and regulation provide additional governance expectations for AI systems [6,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[36]. At a minimum, institutions should be able to identify the model that produced a decision, detect when the model changes, and determine whether the change has shifted the system’s operating point.</w:t>
      </w:r>
    </w:p>
    <w:p>
      <w:pPr>
        <w:pStyle w:val="BodyText"/>
      </w:pPr>
      <w:r>
        <w:t xml:space="preserve">A 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p>
      <w:pPr>
        <w:pStyle w:val="Heading2"/>
      </w:pPr>
      <w:bookmarkStart w:id="36" w:name="limitations"/>
      <w:r>
        <w:t xml:space="preserve">Limitations</w:t>
      </w:r>
      <w:bookmarkEnd w:id="36"/>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w:t>
      </w:r>
      <w:r>
        <w:t xml:space="preserve">tipping-off</w:t>
      </w:r>
      <w:r>
        <w:t xml:space="preserve">”</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p>
      <w:pPr>
        <w:pStyle w:val="Heading1"/>
      </w:pPr>
      <w:bookmarkStart w:id="37" w:name="sec:conclusion"/>
      <w:r>
        <w:t xml:space="preserve">Conclusion</w:t>
      </w:r>
      <w:bookmarkEnd w:id="37"/>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0.3% to 83.0% on the same legitimate cases, and 85.7% of legitimate cases were not classified unanimously across models. In both provider families, the lower-tier models had much higher false-positive rates than the more capable models, placing the models at very different points on the sensitivity–specificity trade-off.</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 about 197-fold.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p>
      <w:pPr>
        <w:pStyle w:val="Heading1"/>
      </w:pPr>
      <w:bookmarkStart w:id="38" w:name="X4906d6a99debbb8dd9c61c1f7450e7cb228d20b"/>
      <w:r>
        <w:t xml:space="preserve">Appendix A: Per-case endpoint aggregation rule</w:t>
      </w:r>
      <w:bookmarkEnd w:id="38"/>
    </w:p>
    <w:p>
      <w:pPr>
        <w:pStyle w:val="FirstParagraph"/>
      </w:pPr>
      <w:r>
        <w:t xml:space="preserve">Table </w:t>
      </w:r>
      <w:hyperlink w:anchor="tab:vote">
        <w:r>
          <w:rPr>
            <w:rStyle w:val="Hyperlink"/>
          </w:rPr>
          <w:t xml:space="preserve">4</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1</w:t>
        </w:r>
      </w:hyperlink>
      <w:r>
        <w:t xml:space="preserve"> </w:t>
      </w:r>
      <w:r>
        <w:t xml:space="preserve">and the statistical tests. Because preregistered decision D4 resolves exact splits with reference to the known case label, it is an evaluation aggregation rule rather than a deployable screening rule; it was fixed before the full evaluation and applied identically across models.</w:t>
      </w:r>
    </w:p>
    <w:p>
      <w:pPr>
        <w:pStyle w:val="CaptionedFigure"/>
      </w:pPr>
      <w:bookmarkStart w:id="40" w:name="fig:fp"/>
      <w:r>
        <w:drawing>
          <wp:inline>
            <wp:extent cx="4205016" cy="3018437"/>
            <wp:effectExtent b="0" l="0" r="0" t="0"/>
            <wp:docPr descr="False-positive rate of five foundation models on identical legitimate transactions. Bars show the percentage of 300 legitimate cases each model flagged as suspicious; error bars are 95% Wilson score confidence intervals. Rates span 0.3–83.0% (Cochran’s Q=131.6, degrees of freedom =4, P\approx2\times10^{-27})" title="" id="1" name="Picture"/>
            <a:graphic>
              <a:graphicData uri="http://schemas.openxmlformats.org/drawingml/2006/picture">
                <pic:pic>
                  <pic:nvPicPr>
                    <pic:cNvPr descr="../figures/fig1_fp_by_model.png" id="0" name="Picture"/>
                    <pic:cNvPicPr>
                      <a:picLocks noChangeArrowheads="1" noChangeAspect="1"/>
                    </pic:cNvPicPr>
                  </pic:nvPicPr>
                  <pic:blipFill>
                    <a:blip r:embed="rId39"/>
                    <a:stretch>
                      <a:fillRect/>
                    </a:stretch>
                  </pic:blipFill>
                  <pic:spPr bwMode="auto">
                    <a:xfrm>
                      <a:off x="0" y="0"/>
                      <a:ext cx="4205016" cy="3018437"/>
                    </a:xfrm>
                    <a:prstGeom prst="rect">
                      <a:avLst/>
                    </a:prstGeom>
                    <a:noFill/>
                    <a:ln w="9525">
                      <a:noFill/>
                      <a:headEnd/>
                      <a:tailEnd/>
                    </a:ln>
                  </pic:spPr>
                </pic:pic>
              </a:graphicData>
            </a:graphic>
          </wp:inline>
        </w:drawing>
      </w:r>
      <w:bookmarkEnd w:id="40"/>
    </w:p>
    <w:p>
      <w:pPr>
        <w:pStyle w:val="ImageCaption"/>
      </w:pPr>
      <w:r>
        <w:rPr>
          <w:b/>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0.3–83.0% (Cochran’s</w:t>
      </w:r>
      <w:r>
        <w:t xml:space="preserve"> </w:t>
      </w:r>
      <m:oMath>
        <m:r>
          <m:t>Q</m:t>
        </m:r>
        <m:r>
          <m:t>=</m:t>
        </m:r>
        <m:r>
          <m:t>131.6</m:t>
        </m:r>
      </m:oMath>
      <w:r>
        <w:t xml:space="preserve">, degrees of freedom</w:t>
      </w:r>
      <w:r>
        <w:t xml:space="preserve"> </w:t>
      </w:r>
      <m:oMath>
        <m:r>
          <m:t>=</m:t>
        </m:r>
        <m:r>
          <m:t>4</m:t>
        </m:r>
      </m:oMath>
      <w:r>
        <w:t xml:space="preserve">,</w:t>
      </w:r>
      <w:r>
        <w:t xml:space="preserve"> </w:t>
      </w:r>
      <m:oMath>
        <m:r>
          <m:t>P</m:t>
        </m:r>
        <m:r>
          <m:t>≈</m:t>
        </m:r>
        <m:r>
          <m:t>2</m:t>
        </m:r>
        <m:r>
          <m:t>×</m:t>
        </m:r>
        <m:sSup>
          <m:e>
            <m:r>
              <m:t>10</m:t>
            </m:r>
          </m:e>
          <m:sup>
            <m:r>
              <m:t>−</m:t>
            </m:r>
            <m:r>
              <m:t>27</m:t>
            </m:r>
          </m:sup>
        </m:sSup>
      </m:oMath>
      <w:r>
        <w:t xml:space="preserve">)</w:t>
      </w:r>
    </w:p>
    <w:p>
      <w:pPr>
        <w:pStyle w:val="CaptionedFigure"/>
      </w:pPr>
      <w:bookmarkStart w:id="42" w:name="fig:ops"/>
      <w:r>
        <w:drawing>
          <wp:inline>
            <wp:extent cx="4302878" cy="3581145"/>
            <wp:effectExtent b="0" l="0" r="0" t="0"/>
            <wp:docPr descr="Each model occupies a different operating point. Sensitivity (percentage of 300 suspicious cases caught) versus false-positive rate (percentage of 300 legitimate cases flagged) for the five foundation models (circles) and the two non-LLM baselines (triangles: rules heuristic; supervised classifier). Within each provider in the evaluated model set, the more capable model is consistently associated with a lower false-positive rate" title="" id="1" name="Picture"/>
            <a:graphic>
              <a:graphicData uri="http://schemas.openxmlformats.org/drawingml/2006/picture">
                <pic:pic>
                  <pic:nvPicPr>
                    <pic:cNvPr descr="../figures/fig2_operating_points.png" id="0" name="Picture"/>
                    <pic:cNvPicPr>
                      <a:picLocks noChangeArrowheads="1" noChangeAspect="1"/>
                    </pic:cNvPicPr>
                  </pic:nvPicPr>
                  <pic:blipFill>
                    <a:blip r:embed="rId41"/>
                    <a:stretch>
                      <a:fillRect/>
                    </a:stretch>
                  </pic:blipFill>
                  <pic:spPr bwMode="auto">
                    <a:xfrm>
                      <a:off x="0" y="0"/>
                      <a:ext cx="4302878" cy="3581145"/>
                    </a:xfrm>
                    <a:prstGeom prst="rect">
                      <a:avLst/>
                    </a:prstGeom>
                    <a:noFill/>
                    <a:ln w="9525">
                      <a:noFill/>
                      <a:headEnd/>
                      <a:tailEnd/>
                    </a:ln>
                  </pic:spPr>
                </pic:pic>
              </a:graphicData>
            </a:graphic>
          </wp:inline>
        </w:drawing>
      </w:r>
      <w:bookmarkEnd w:id="42"/>
    </w:p>
    <w:p>
      <w:pPr>
        <w:pStyle w:val="ImageCaption"/>
      </w:pPr>
      <w:r>
        <w:rPr>
          <w:b/>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supervised classifier). Within each provider in the evaluated model set, the more capable model is consistently associated with a lower false-positive rate</w:t>
      </w:r>
    </w:p>
    <w:p>
      <w:pPr>
        <w:pStyle w:val="CaptionedFigure"/>
      </w:pPr>
      <w:bookmarkStart w:id="44" w:name="fig:vol"/>
      <w:r>
        <w:drawing>
          <wp:inline>
            <wp:extent cx="4330402" cy="3055135"/>
            <wp:effectExtent b="0" l="0" r="0" t="0"/>
            <wp:docPr descr="Projected daily alert workload under an illustrative low-prevalence scenario. Expected daily alerts for each screener at a suspicious prevalence of 0.1% over 1,000,000 transactions per day (logarithmic axis). Model choice changes the queue from about 4,200 to about 830,000 alerts on identical activity" title="" id="1" name="Picture"/>
            <a:graphic>
              <a:graphicData uri="http://schemas.openxmlformats.org/drawingml/2006/picture">
                <pic:pic>
                  <pic:nvPicPr>
                    <pic:cNvPr descr="../figures/fig3_alert_volume.png" id="0" name="Picture"/>
                    <pic:cNvPicPr>
                      <a:picLocks noChangeArrowheads="1" noChangeAspect="1"/>
                    </pic:cNvPicPr>
                  </pic:nvPicPr>
                  <pic:blipFill>
                    <a:blip r:embed="rId43"/>
                    <a:stretch>
                      <a:fillRect/>
                    </a:stretch>
                  </pic:blipFill>
                  <pic:spPr bwMode="auto">
                    <a:xfrm>
                      <a:off x="0" y="0"/>
                      <a:ext cx="4330402" cy="3055135"/>
                    </a:xfrm>
                    <a:prstGeom prst="rect">
                      <a:avLst/>
                    </a:prstGeom>
                    <a:noFill/>
                    <a:ln w="9525">
                      <a:noFill/>
                      <a:headEnd/>
                      <a:tailEnd/>
                    </a:ln>
                  </pic:spPr>
                </pic:pic>
              </a:graphicData>
            </a:graphic>
          </wp:inline>
        </w:drawing>
      </w:r>
      <w:bookmarkEnd w:id="44"/>
    </w:p>
    <w:p>
      <w:pPr>
        <w:pStyle w:val="ImageCaption"/>
      </w:pPr>
      <w:r>
        <w:rPr>
          <w:b/>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4,200 to about 830,000 alerts on identical activity</w:t>
      </w:r>
    </w:p>
    <w:p>
      <w:pPr>
        <w:pStyle w:val="CaptionedFigure"/>
      </w:pPr>
      <w:bookmarkStart w:id="46" w:name="fig:typ"/>
      <w:r>
        <w:drawing>
          <wp:inline>
            <wp:extent cx="4419090" cy="3192754"/>
            <wp:effectExtent b="0" l="0" r="0" t="0"/>
            <wp:docPr descr="A shared blind spot for trade-based laundering. Miss rate by laundering typology, pooled across the five models; error bars are 95% Wilson score confidence intervals. Trade-based laundering and cash-intensive fronts are missed substantially more often than structural typologies" title="" id="1" name="Picture"/>
            <a:graphic>
              <a:graphicData uri="http://schemas.openxmlformats.org/drawingml/2006/picture">
                <pic:pic>
                  <pic:nvPicPr>
                    <pic:cNvPr descr="../figures/fig4_typology_miss.png" id="0" name="Picture"/>
                    <pic:cNvPicPr>
                      <a:picLocks noChangeArrowheads="1" noChangeAspect="1"/>
                    </pic:cNvPicPr>
                  </pic:nvPicPr>
                  <pic:blipFill>
                    <a:blip r:embed="rId45"/>
                    <a:stretch>
                      <a:fillRect/>
                    </a:stretch>
                  </pic:blipFill>
                  <pic:spPr bwMode="auto">
                    <a:xfrm>
                      <a:off x="0" y="0"/>
                      <a:ext cx="4419090" cy="3192754"/>
                    </a:xfrm>
                    <a:prstGeom prst="rect">
                      <a:avLst/>
                    </a:prstGeom>
                    <a:noFill/>
                    <a:ln w="9525">
                      <a:noFill/>
                      <a:headEnd/>
                      <a:tailEnd/>
                    </a:ln>
                  </pic:spPr>
                </pic:pic>
              </a:graphicData>
            </a:graphic>
          </wp:inline>
        </w:drawing>
      </w:r>
      <w:bookmarkEnd w:id="46"/>
    </w:p>
    <w:p>
      <w:pPr>
        <w:pStyle w:val="ImageCaption"/>
      </w:pPr>
      <w:r>
        <w:rPr>
          <w:b/>
        </w:rPr>
        <w:t xml:space="preserve">A shared blind spot for trade-based laundering.</w:t>
      </w:r>
      <w:r>
        <w:t xml:space="preserve"> </w:t>
      </w:r>
      <w:r>
        <w:t xml:space="preserve">Miss rate by laundering typology, pooled across the five models; error bars are 95% Wilson score confidence intervals. Trade-based laundering and cash-intensive fronts are missed substantially more often than structural typologies</w:t>
      </w:r>
    </w:p>
    <w:p>
      <w:pPr>
        <w:pStyle w:val="CaptionedFigure"/>
      </w:pPr>
      <w:bookmarkStart w:id="48" w:name="fig:heat"/>
      <w:r>
        <w:drawing>
          <wp:inline>
            <wp:extent cx="5334000" cy="3413984"/>
            <wp:effectExtent b="0" l="0" r="0" t="0"/>
            <wp:docPr descr="Miss rate by laundering typology and model. 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2" title="" id="1" name="Picture"/>
            <a:graphic>
              <a:graphicData uri="http://schemas.openxmlformats.org/drawingml/2006/picture">
                <pic:pic>
                  <pic:nvPicPr>
                    <pic:cNvPr descr="../figures/fig5_typology_model_heatmap.png" id="0" name="Picture"/>
                    <pic:cNvPicPr>
                      <a:picLocks noChangeArrowheads="1" noChangeAspect="1"/>
                    </pic:cNvPicPr>
                  </pic:nvPicPr>
                  <pic:blipFill>
                    <a:blip r:embed="rId47"/>
                    <a:stretch>
                      <a:fillRect/>
                    </a:stretch>
                  </pic:blipFill>
                  <pic:spPr bwMode="auto">
                    <a:xfrm>
                      <a:off x="0" y="0"/>
                      <a:ext cx="5334000" cy="3413984"/>
                    </a:xfrm>
                    <a:prstGeom prst="rect">
                      <a:avLst/>
                    </a:prstGeom>
                    <a:noFill/>
                    <a:ln w="9525">
                      <a:noFill/>
                      <a:headEnd/>
                      <a:tailEnd/>
                    </a:ln>
                  </pic:spPr>
                </pic:pic>
              </a:graphicData>
            </a:graphic>
          </wp:inline>
        </w:drawing>
      </w:r>
      <w:bookmarkEnd w:id="48"/>
    </w:p>
    <w:p>
      <w:pPr>
        <w:pStyle w:val="ImageCaption"/>
      </w:pPr>
      <w:r>
        <w:rPr>
          <w:b/>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Start w:id="49" w:name="tab:ops"/>
    <w:p>
      <w:pPr>
        <w:pStyle w:val="TableCaption"/>
      </w:pPr>
      <w:r>
        <w:rPr>
          <w:b/>
        </w:rPr>
        <w:t xml:space="preserve">Per-model operating point on the identical 600-case battery.</w:t>
      </w:r>
      <w:r>
        <w:t xml:space="preserve"> </w:t>
      </w:r>
      <w:r>
        <w:t xml:space="preserve">Values are percentages with 95% Wilson score confidence intervals;</w:t>
      </w:r>
      <w:r>
        <w:t xml:space="preserve"> </w:t>
      </w:r>
      <m:oMath>
        <m:r>
          <m:t>n</m:t>
        </m:r>
        <m:r>
          <m:t>=</m:t>
        </m:r>
        <m:r>
          <m:t>300</m:t>
        </m:r>
      </m:oMath>
      <w:r>
        <w:t xml:space="preserve"> </w:t>
      </w:r>
      <w:r>
        <w:t xml:space="preserve">legitimate and 300 suspicious cases.</w:t>
      </w:r>
    </w:p>
    <w:tbl>
      <w:tblPr>
        <w:tblStyle w:val="Table"/>
        <w:tblW w:type="pct" w:w="0.0"/>
        <w:tblLook w:firstRow="1"/>
        <w:tblCaption w:val="Per-model operating point on the identical 600-case battery. Values are percentages with 95% Wilson score confidence intervals; n=300 legitimate and 300 suspicious cases."/>
      </w:tblPr>
      <w:tblGrid/>
      <w:tr>
        <w:trPr>
          <w:cnfStyle w:firstRow="1"/>
        </w:trPr>
        <w:tc>
          <w:tcPr>
            <w:tcBorders>
              <w:bottom w:val="single"/>
            </w:tcBorders>
            <w:vAlign w:val="bottom"/>
          </w:tcPr>
          <w:p>
            <w:pPr>
              <w:pStyle w:val="Compact"/>
              <w:jc w:val="left"/>
            </w:pPr>
            <w:r>
              <w:t xml:space="preserve">Model</w:t>
            </w:r>
          </w:p>
        </w:tc>
        <w:tc>
          <w:tcPr>
            <w:tcBorders>
              <w:bottom w:val="single"/>
            </w:tcBorders>
            <w:vAlign w:val="bottom"/>
          </w:tcPr>
          <w:p>
            <w:pPr>
              <w:pStyle w:val="Compact"/>
              <w:jc w:val="left"/>
            </w:pPr>
            <w:r>
              <w:t xml:space="preserve">Provider</w:t>
            </w:r>
          </w:p>
        </w:tc>
        <w:tc>
          <w:tcPr>
            <w:tcBorders>
              <w:bottom w:val="single"/>
            </w:tcBorders>
            <w:vAlign w:val="bottom"/>
          </w:tcPr>
          <w:p>
            <w:pPr>
              <w:pStyle w:val="Compact"/>
              <w:jc w:val="left"/>
            </w:pPr>
            <w:r>
              <w:t xml:space="preserve">False-positive rate</w:t>
            </w:r>
          </w:p>
        </w:tc>
        <w:tc>
          <w:tcPr>
            <w:tcBorders>
              <w:bottom w:val="single"/>
            </w:tcBorders>
            <w:vAlign w:val="bottom"/>
          </w:tcPr>
          <w:p>
            <w:pPr>
              <w:pStyle w:val="Compact"/>
              <w:jc w:val="left"/>
            </w:pPr>
            <w:r>
              <w:t xml:space="preserve">Miss rate</w:t>
            </w:r>
          </w:p>
        </w:tc>
      </w:tr>
      <w:tr>
        <w:tc>
          <w:p>
            <w:pPr>
              <w:pStyle w:val="Compact"/>
              <w:jc w:val="left"/>
            </w:pPr>
            <w:r>
              <w:t xml:space="preserve">Gemini Flash</w:t>
            </w:r>
          </w:p>
        </w:tc>
        <w:tc>
          <w:p>
            <w:pPr>
              <w:pStyle w:val="Compact"/>
              <w:jc w:val="left"/>
            </w:pPr>
            <w:r>
              <w:t xml:space="preserve">Google</w:t>
            </w:r>
          </w:p>
        </w:tc>
        <w:tc>
          <w:p>
            <w:pPr>
              <w:pStyle w:val="Compact"/>
              <w:jc w:val="left"/>
            </w:pPr>
            <w:r>
              <w:t xml:space="preserve">0.3 [0.1–1.9]</w:t>
            </w:r>
          </w:p>
        </w:tc>
        <w:tc>
          <w:p>
            <w:pPr>
              <w:pStyle w:val="Compact"/>
              <w:jc w:val="left"/>
            </w:pPr>
            <w:r>
              <w:t xml:space="preserve">12.0 [8.8–16.2]</w:t>
            </w:r>
          </w:p>
        </w:tc>
      </w:tr>
      <w:tr>
        <w:tc>
          <w:p>
            <w:pPr>
              <w:pStyle w:val="Compact"/>
              <w:jc w:val="left"/>
            </w:pPr>
            <w:r>
              <w:t xml:space="preserve">GPT-4o</w:t>
            </w:r>
          </w:p>
        </w:tc>
        <w:tc>
          <w:p>
            <w:pPr>
              <w:pStyle w:val="Compact"/>
              <w:jc w:val="left"/>
            </w:pPr>
            <w:r>
              <w:t xml:space="preserve">OpenAI</w:t>
            </w:r>
          </w:p>
        </w:tc>
        <w:tc>
          <w:p>
            <w:pPr>
              <w:pStyle w:val="Compact"/>
              <w:jc w:val="left"/>
            </w:pPr>
            <w:r>
              <w:t xml:space="preserve">1.0 [0.3–2.9]</w:t>
            </w:r>
          </w:p>
        </w:tc>
        <w:tc>
          <w:p>
            <w:pPr>
              <w:pStyle w:val="Compact"/>
              <w:jc w:val="left"/>
            </w:pPr>
            <w:r>
              <w:t xml:space="preserve">3.3 [1.8–6.0]</w:t>
            </w:r>
          </w:p>
        </w:tc>
      </w:tr>
      <w:tr>
        <w:tc>
          <w:p>
            <w:pPr>
              <w:pStyle w:val="Compact"/>
              <w:jc w:val="left"/>
            </w:pPr>
            <w:r>
              <w:t xml:space="preserve">GPT-4.1-mini</w:t>
            </w:r>
          </w:p>
        </w:tc>
        <w:tc>
          <w:p>
            <w:pPr>
              <w:pStyle w:val="Compact"/>
              <w:jc w:val="left"/>
            </w:pPr>
            <w:r>
              <w:t xml:space="preserve">OpenAI</w:t>
            </w:r>
          </w:p>
        </w:tc>
        <w:tc>
          <w:p>
            <w:pPr>
              <w:pStyle w:val="Compact"/>
              <w:jc w:val="left"/>
            </w:pPr>
            <w:r>
              <w:t xml:space="preserve">23.7 [19.2–28.8]</w:t>
            </w:r>
          </w:p>
        </w:tc>
        <w:tc>
          <w:p>
            <w:pPr>
              <w:pStyle w:val="Compact"/>
              <w:jc w:val="left"/>
            </w:pPr>
            <w:r>
              <w:t xml:space="preserve">3.7 [2.1–6.4]</w:t>
            </w:r>
          </w:p>
        </w:tc>
      </w:tr>
      <w:tr>
        <w:tc>
          <w:p>
            <w:pPr>
              <w:pStyle w:val="Compact"/>
              <w:jc w:val="left"/>
            </w:pPr>
            <w:r>
              <w:t xml:space="preserve">Gemini Flash-Lite</w:t>
            </w:r>
          </w:p>
        </w:tc>
        <w:tc>
          <w:p>
            <w:pPr>
              <w:pStyle w:val="Compact"/>
              <w:jc w:val="left"/>
            </w:pPr>
            <w:r>
              <w:t xml:space="preserve">Google</w:t>
            </w:r>
          </w:p>
        </w:tc>
        <w:tc>
          <w:p>
            <w:pPr>
              <w:pStyle w:val="Compact"/>
              <w:jc w:val="left"/>
            </w:pPr>
            <w:r>
              <w:t xml:space="preserve">24.7 [20.1–29.8]</w:t>
            </w:r>
          </w:p>
        </w:tc>
        <w:tc>
          <w:p>
            <w:pPr>
              <w:pStyle w:val="Compact"/>
              <w:jc w:val="left"/>
            </w:pPr>
            <w:r>
              <w:t xml:space="preserve">0.7 [0.2–2.4]</w:t>
            </w:r>
          </w:p>
        </w:tc>
      </w:tr>
      <w:tr>
        <w:tc>
          <w:p>
            <w:pPr>
              <w:pStyle w:val="Compact"/>
              <w:jc w:val="left"/>
            </w:pPr>
            <w:r>
              <w:t xml:space="preserve">GPT-4o-mini</w:t>
            </w:r>
          </w:p>
        </w:tc>
        <w:tc>
          <w:p>
            <w:pPr>
              <w:pStyle w:val="Compact"/>
              <w:jc w:val="left"/>
            </w:pPr>
            <w:r>
              <w:t xml:space="preserve">OpenAI</w:t>
            </w:r>
          </w:p>
        </w:tc>
        <w:tc>
          <w:p>
            <w:pPr>
              <w:pStyle w:val="Compact"/>
              <w:jc w:val="left"/>
            </w:pPr>
            <w:r>
              <w:t xml:space="preserve">83.0 [78.3–86.8]</w:t>
            </w:r>
          </w:p>
        </w:tc>
        <w:tc>
          <w:p>
            <w:pPr>
              <w:pStyle w:val="Compact"/>
              <w:jc w:val="left"/>
            </w:pPr>
            <w:r>
              <w:t xml:space="preserve">0.0 [0.0–1.3]</w:t>
            </w:r>
          </w:p>
        </w:tc>
      </w:tr>
      <w:tr>
        <w:tc>
          <w:p/>
        </w:tc>
        <w:tc>
          <w:p/>
        </w:tc>
        <w:tc>
          <w:p/>
        </w:tc>
        <w:tc>
          <w:p/>
        </w:tc>
      </w:tr>
    </w:tbl>
    <w:bookmarkEnd w:id="49"/>
    <w:bookmarkStart w:id="50" w:name="tab:mcnemar"/>
    <w:p>
      <w:pPr>
        <w:pStyle w:val="TableCaption"/>
      </w:pPr>
      <w:r>
        <w:rPr>
          <w:b/>
        </w:rPr>
        <w:t xml:space="preserve">Pairwise comparison of false-positive rates.</w:t>
      </w:r>
      <w:r>
        <w:t xml:space="preserve"> </w:t>
      </w:r>
      <w:r>
        <w:t xml:space="preserve">McNemar’s exact (binomial) test on the 300 legitimate cases (same cases for all models);</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The two within-group pairs (top) were not statistically significant after correction, whereas every between-group pair was significant (</w:t>
      </w:r>
      <m:oMath>
        <m:r>
          <m:t>P</m:t>
        </m:r>
        <m:r>
          <m:t>&lt;</m:t>
        </m:r>
        <m:sSup>
          <m:e>
            <m:r>
              <m:t>10</m:t>
            </m:r>
          </m:e>
          <m:sup>
            <m:r>
              <m:t>−</m:t>
            </m:r>
            <m:r>
              <m:t>18</m:t>
            </m:r>
          </m:sup>
        </m:sSup>
      </m:oMath>
      <w:r>
        <w:t xml:space="preserve">).</w:t>
      </w:r>
    </w:p>
    <w:tbl>
      <w:tblPr>
        <w:tblStyle w:val="Table"/>
        <w:tblW w:type="pct" w:w="0.0"/>
        <w:tblLook w:firstRow="1"/>
        <w:tblCaption w:val="Pairwise comparison of false-positive rates. McNemar’s exact (binomial) test on the 300 legitimate cases (same cases for all models); b and c are the discordant counts. P-values are two-tailed and Bonferroni-corrected across the ten model pairs. The two within-group pairs (top) were not statistically significant after correction, whereas every between-group pair was significant (P&lt;10^{-18})."/>
      </w:tblPr>
      <w:tblGrid/>
      <w:tr>
        <w:trPr>
          <w:cnfStyle w:firstRow="1"/>
        </w:trPr>
        <w:tc>
          <w:tcPr>
            <w:tcBorders>
              <w:bottom w:val="single"/>
            </w:tcBorders>
            <w:vAlign w:val="bottom"/>
          </w:tcPr>
          <w:p>
            <w:pPr>
              <w:pStyle w:val="Compact"/>
              <w:jc w:val="left"/>
            </w:pPr>
            <w:r>
              <w:t xml:space="preserve">Model pair</w:t>
            </w:r>
          </w:p>
        </w:tc>
        <w:tc>
          <w:tcPr>
            <w:tcBorders>
              <w:bottom w:val="single"/>
            </w:tcBorders>
            <w:vAlign w:val="bottom"/>
          </w:tcPr>
          <w:p>
            <w:pPr>
              <w:pStyle w:val="Compact"/>
              <w:jc w:val="right"/>
            </w:pPr>
            <m:oMath>
              <m:r>
                <m:t>b</m:t>
              </m:r>
            </m:oMath>
          </w:p>
        </w:tc>
        <w:tc>
          <w:tcPr>
            <w:tcBorders>
              <w:bottom w:val="single"/>
            </w:tcBorders>
            <w:vAlign w:val="bottom"/>
          </w:tcPr>
          <w:p>
            <w:pPr>
              <w:pStyle w:val="Compact"/>
              <w:jc w:val="right"/>
            </w:pPr>
            <m:oMath>
              <m:r>
                <m:t>c</m:t>
              </m:r>
            </m:oMath>
          </w:p>
        </w:tc>
        <w:tc>
          <w:tcPr>
            <w:tcBorders>
              <w:bottom w:val="single"/>
            </w:tcBorders>
            <w:vAlign w:val="bottom"/>
          </w:tcPr>
          <w:p>
            <w:pPr>
              <w:pStyle w:val="Compact"/>
              <w:jc w:val="left"/>
            </w:pPr>
            <m:oMath>
              <m:r>
                <m:t>P</m:t>
              </m:r>
            </m:oMath>
            <w:r>
              <w:t xml:space="preserve"> </w:t>
            </w:r>
            <w:r>
              <w:t xml:space="preserve">(Bonferroni)</w:t>
            </w:r>
          </w:p>
        </w:tc>
      </w:tr>
      <w:tr>
        <w:tc>
          <w:p>
            <w:pPr>
              <w:pStyle w:val="Compact"/>
              <w:jc w:val="left"/>
            </w:pPr>
            <w:r>
              <w:t xml:space="preserve">Gemini Flash vs GPT-4o</w:t>
            </w:r>
          </w:p>
        </w:tc>
        <w:tc>
          <w:p>
            <w:pPr>
              <w:pStyle w:val="Compact"/>
              <w:jc w:val="right"/>
            </w:pPr>
            <w:r>
              <w:t xml:space="preserve">1</w:t>
            </w:r>
          </w:p>
        </w:tc>
        <w:tc>
          <w:p>
            <w:pPr>
              <w:pStyle w:val="Compact"/>
              <w:jc w:val="right"/>
            </w:pPr>
            <w:r>
              <w:t xml:space="preserve">3</w:t>
            </w:r>
          </w:p>
        </w:tc>
        <w:tc>
          <w:p>
            <w:pPr>
              <w:pStyle w:val="Compact"/>
              <w:jc w:val="left"/>
            </w:pPr>
            <w:r>
              <w:t xml:space="preserve">1.0</w:t>
            </w:r>
          </w:p>
        </w:tc>
      </w:tr>
      <w:tr>
        <w:tc>
          <w:p>
            <w:pPr>
              <w:pStyle w:val="Compact"/>
              <w:jc w:val="left"/>
            </w:pPr>
            <w:r>
              <w:t xml:space="preserve">GPT-4.1-mini vs Gemini Flash-Lite</w:t>
            </w:r>
          </w:p>
        </w:tc>
        <w:tc>
          <w:p>
            <w:pPr>
              <w:pStyle w:val="Compact"/>
              <w:jc w:val="right"/>
            </w:pPr>
            <w:r>
              <w:t xml:space="preserve">42</w:t>
            </w:r>
          </w:p>
        </w:tc>
        <w:tc>
          <w:p>
            <w:pPr>
              <w:pStyle w:val="Compact"/>
              <w:jc w:val="right"/>
            </w:pPr>
            <w:r>
              <w:t xml:space="preserve">45</w:t>
            </w:r>
          </w:p>
        </w:tc>
        <w:tc>
          <w:p>
            <w:pPr>
              <w:pStyle w:val="Compact"/>
              <w:jc w:val="left"/>
            </w:pPr>
            <w:r>
              <w:t xml:space="preserve">1.0</w:t>
            </w:r>
          </w:p>
        </w:tc>
      </w:tr>
      <w:tr>
        <w:tc>
          <w:p>
            <w:pPr>
              <w:pStyle w:val="Compact"/>
              <w:jc w:val="left"/>
            </w:pPr>
            <w:r>
              <w:t xml:space="preserve">Gemini Flash vs GPT-4.1-mini</w:t>
            </w:r>
          </w:p>
        </w:tc>
        <w:tc>
          <w:p>
            <w:pPr>
              <w:pStyle w:val="Compact"/>
              <w:jc w:val="right"/>
            </w:pPr>
            <w:r>
              <w:t xml:space="preserve">1</w:t>
            </w:r>
          </w:p>
        </w:tc>
        <w:tc>
          <w:p>
            <w:pPr>
              <w:pStyle w:val="Compact"/>
              <w:jc w:val="right"/>
            </w:pPr>
            <w:r>
              <w:t xml:space="preserve">71</w:t>
            </w:r>
          </w:p>
        </w:tc>
        <w:tc>
          <w:p>
            <w:pPr>
              <w:pStyle w:val="Compact"/>
              <w:jc w:val="left"/>
            </w:pPr>
            <m:oMath>
              <m:r>
                <m:t>3.1</m:t>
              </m:r>
              <m:r>
                <m:t>×</m:t>
              </m:r>
              <m:sSup>
                <m:e>
                  <m:r>
                    <m:t>10</m:t>
                  </m:r>
                </m:e>
                <m:sup>
                  <m:r>
                    <m:t>−</m:t>
                  </m:r>
                  <m:r>
                    <m:t>19</m:t>
                  </m:r>
                </m:sup>
              </m:sSup>
            </m:oMath>
          </w:p>
        </w:tc>
      </w:tr>
      <w:tr>
        <w:tc>
          <w:p>
            <w:pPr>
              <w:pStyle w:val="Compact"/>
              <w:jc w:val="left"/>
            </w:pPr>
            <w:r>
              <w:t xml:space="preserve">Gemini Flash vs Gemini Flash-Lite</w:t>
            </w:r>
          </w:p>
        </w:tc>
        <w:tc>
          <w:p>
            <w:pPr>
              <w:pStyle w:val="Compact"/>
              <w:jc w:val="right"/>
            </w:pPr>
            <w:r>
              <w:t xml:space="preserve">1</w:t>
            </w:r>
          </w:p>
        </w:tc>
        <w:tc>
          <w:p>
            <w:pPr>
              <w:pStyle w:val="Compact"/>
              <w:jc w:val="right"/>
            </w:pPr>
            <w:r>
              <w:t xml:space="preserve">74</w:t>
            </w:r>
          </w:p>
        </w:tc>
        <w:tc>
          <w:p>
            <w:pPr>
              <w:pStyle w:val="Compact"/>
              <w:jc w:val="left"/>
            </w:pPr>
            <m:oMath>
              <m:r>
                <m:t>4.0</m:t>
              </m:r>
              <m:r>
                <m:t>×</m:t>
              </m:r>
              <m:sSup>
                <m:e>
                  <m:r>
                    <m:t>10</m:t>
                  </m:r>
                </m:e>
                <m:sup>
                  <m:r>
                    <m:t>−</m:t>
                  </m:r>
                  <m:r>
                    <m:t>20</m:t>
                  </m:r>
                </m:sup>
              </m:sSup>
            </m:oMath>
          </w:p>
        </w:tc>
      </w:tr>
      <w:tr>
        <w:tc>
          <w:p>
            <w:pPr>
              <w:pStyle w:val="Compact"/>
              <w:jc w:val="left"/>
            </w:pPr>
            <w:r>
              <w:t xml:space="preserve">GPT-4o vs GPT-4.1-mini</w:t>
            </w:r>
          </w:p>
        </w:tc>
        <w:tc>
          <w:p>
            <w:pPr>
              <w:pStyle w:val="Compact"/>
              <w:jc w:val="right"/>
            </w:pPr>
            <w:r>
              <w:t xml:space="preserve">0</w:t>
            </w:r>
          </w:p>
        </w:tc>
        <w:tc>
          <w:p>
            <w:pPr>
              <w:pStyle w:val="Compact"/>
              <w:jc w:val="right"/>
            </w:pPr>
            <w:r>
              <w:t xml:space="preserve">68</w:t>
            </w:r>
          </w:p>
        </w:tc>
        <w:tc>
          <w:p>
            <w:pPr>
              <w:pStyle w:val="Compact"/>
              <w:jc w:val="left"/>
            </w:pPr>
            <m:oMath>
              <m:r>
                <m:t>6.8</m:t>
              </m:r>
              <m:r>
                <m:t>×</m:t>
              </m:r>
              <m:sSup>
                <m:e>
                  <m:r>
                    <m:t>10</m:t>
                  </m:r>
                </m:e>
                <m:sup>
                  <m:r>
                    <m:t>−</m:t>
                  </m:r>
                  <m:r>
                    <m:t>20</m:t>
                  </m:r>
                </m:sup>
              </m:sSup>
            </m:oMath>
          </w:p>
        </w:tc>
      </w:tr>
      <w:tr>
        <w:tc>
          <w:p>
            <w:pPr>
              <w:pStyle w:val="Compact"/>
              <w:jc w:val="left"/>
            </w:pPr>
            <w:r>
              <w:t xml:space="preserve">GPT-4o vs Gemini Flash-Lite</w:t>
            </w:r>
          </w:p>
        </w:tc>
        <w:tc>
          <w:p>
            <w:pPr>
              <w:pStyle w:val="Compact"/>
              <w:jc w:val="right"/>
            </w:pPr>
            <w:r>
              <w:t xml:space="preserve">0</w:t>
            </w:r>
          </w:p>
        </w:tc>
        <w:tc>
          <w:p>
            <w:pPr>
              <w:pStyle w:val="Compact"/>
              <w:jc w:val="right"/>
            </w:pPr>
            <w:r>
              <w:t xml:space="preserve">71</w:t>
            </w:r>
          </w:p>
        </w:tc>
        <w:tc>
          <w:p>
            <w:pPr>
              <w:pStyle w:val="Compact"/>
              <w:jc w:val="left"/>
            </w:pPr>
            <m:oMath>
              <m:r>
                <m:t>8.5</m:t>
              </m:r>
              <m:r>
                <m:t>×</m:t>
              </m:r>
              <m:sSup>
                <m:e>
                  <m:r>
                    <m:t>10</m:t>
                  </m:r>
                </m:e>
                <m:sup>
                  <m:r>
                    <m:t>−</m:t>
                  </m:r>
                  <m:r>
                    <m:t>21</m:t>
                  </m:r>
                </m:sup>
              </m:sSup>
            </m:oMath>
          </w:p>
        </w:tc>
      </w:tr>
      <w:tr>
        <w:tc>
          <w:p>
            <w:pPr>
              <w:pStyle w:val="Compact"/>
              <w:jc w:val="left"/>
            </w:pPr>
            <w:r>
              <w:t xml:space="preserve">GPT-4.1-mini vs GPT-4o-mini</w:t>
            </w:r>
          </w:p>
        </w:tc>
        <w:tc>
          <w:p>
            <w:pPr>
              <w:pStyle w:val="Compact"/>
              <w:jc w:val="right"/>
            </w:pPr>
            <w:r>
              <w:t xml:space="preserve">1</w:t>
            </w:r>
          </w:p>
        </w:tc>
        <w:tc>
          <w:p>
            <w:pPr>
              <w:pStyle w:val="Compact"/>
              <w:jc w:val="right"/>
            </w:pPr>
            <w:r>
              <w:t xml:space="preserve">179</w:t>
            </w:r>
          </w:p>
        </w:tc>
        <w:tc>
          <w:p>
            <w:pPr>
              <w:pStyle w:val="Compact"/>
              <w:jc w:val="left"/>
            </w:pPr>
            <m:oMath>
              <m:r>
                <m:t>2.4</m:t>
              </m:r>
              <m:r>
                <m:t>×</m:t>
              </m:r>
              <m:sSup>
                <m:e>
                  <m:r>
                    <m:t>10</m:t>
                  </m:r>
                </m:e>
                <m:sup>
                  <m:r>
                    <m:t>−</m:t>
                  </m:r>
                  <m:r>
                    <m:t>51</m:t>
                  </m:r>
                </m:sup>
              </m:sSup>
            </m:oMath>
          </w:p>
        </w:tc>
      </w:tr>
      <w:tr>
        <w:tc>
          <w:p>
            <w:pPr>
              <w:pStyle w:val="Compact"/>
              <w:jc w:val="left"/>
            </w:pPr>
            <w:r>
              <w:t xml:space="preserve">Gemini Flash-Lite vs GPT-4o-mini</w:t>
            </w:r>
          </w:p>
        </w:tc>
        <w:tc>
          <w:p>
            <w:pPr>
              <w:pStyle w:val="Compact"/>
              <w:jc w:val="right"/>
            </w:pPr>
            <w:r>
              <w:t xml:space="preserve">8</w:t>
            </w:r>
          </w:p>
        </w:tc>
        <w:tc>
          <w:p>
            <w:pPr>
              <w:pStyle w:val="Compact"/>
              <w:jc w:val="right"/>
            </w:pPr>
            <w:r>
              <w:t xml:space="preserve">183</w:t>
            </w:r>
          </w:p>
        </w:tc>
        <w:tc>
          <w:p>
            <w:pPr>
              <w:pStyle w:val="Compact"/>
              <w:jc w:val="left"/>
            </w:pPr>
            <m:oMath>
              <m:r>
                <m:t>2.5</m:t>
              </m:r>
              <m:r>
                <m:t>×</m:t>
              </m:r>
              <m:sSup>
                <m:e>
                  <m:r>
                    <m:t>10</m:t>
                  </m:r>
                </m:e>
                <m:sup>
                  <m:r>
                    <m:t>−</m:t>
                  </m:r>
                  <m:r>
                    <m:t>43</m:t>
                  </m:r>
                </m:sup>
              </m:sSup>
            </m:oMath>
          </w:p>
        </w:tc>
      </w:tr>
      <w:tr>
        <w:tc>
          <w:p>
            <w:pPr>
              <w:pStyle w:val="Compact"/>
              <w:jc w:val="left"/>
            </w:pPr>
            <w:r>
              <w:t xml:space="preserve">Gemini Flash vs GPT-4o-mini</w:t>
            </w:r>
          </w:p>
        </w:tc>
        <w:tc>
          <w:p>
            <w:pPr>
              <w:pStyle w:val="Compact"/>
              <w:jc w:val="right"/>
            </w:pPr>
            <w:r>
              <w:t xml:space="preserve">0</w:t>
            </w:r>
          </w:p>
        </w:tc>
        <w:tc>
          <w:p>
            <w:pPr>
              <w:pStyle w:val="Compact"/>
              <w:jc w:val="right"/>
            </w:pPr>
            <w:r>
              <w:t xml:space="preserve">248</w:t>
            </w:r>
          </w:p>
        </w:tc>
        <w:tc>
          <w:p>
            <w:pPr>
              <w:pStyle w:val="Compact"/>
              <w:jc w:val="left"/>
            </w:pPr>
            <m:oMath>
              <m:r>
                <m:t>4.4</m:t>
              </m:r>
              <m:r>
                <m:t>×</m:t>
              </m:r>
              <m:sSup>
                <m:e>
                  <m:r>
                    <m:t>10</m:t>
                  </m:r>
                </m:e>
                <m:sup>
                  <m:r>
                    <m:t>−</m:t>
                  </m:r>
                  <m:r>
                    <m:t>74</m:t>
                  </m:r>
                </m:sup>
              </m:sSup>
            </m:oMath>
          </w:p>
        </w:tc>
      </w:tr>
      <w:tr>
        <w:tc>
          <w:p>
            <w:pPr>
              <w:pStyle w:val="Compact"/>
              <w:jc w:val="left"/>
            </w:pPr>
            <w:r>
              <w:t xml:space="preserve">GPT-4o vs GPT-4o-mini</w:t>
            </w:r>
          </w:p>
        </w:tc>
        <w:tc>
          <w:p>
            <w:pPr>
              <w:pStyle w:val="Compact"/>
              <w:jc w:val="right"/>
            </w:pPr>
            <w:r>
              <w:t xml:space="preserve">0</w:t>
            </w:r>
          </w:p>
        </w:tc>
        <w:tc>
          <w:p>
            <w:pPr>
              <w:pStyle w:val="Compact"/>
              <w:jc w:val="right"/>
            </w:pPr>
            <w:r>
              <w:t xml:space="preserve">246</w:t>
            </w:r>
          </w:p>
        </w:tc>
        <w:tc>
          <w:p>
            <w:pPr>
              <w:pStyle w:val="Compact"/>
              <w:jc w:val="left"/>
            </w:pPr>
            <m:oMath>
              <m:r>
                <m:t>1.8</m:t>
              </m:r>
              <m:r>
                <m:t>×</m:t>
              </m:r>
              <m:sSup>
                <m:e>
                  <m:r>
                    <m:t>10</m:t>
                  </m:r>
                </m:e>
                <m:sup>
                  <m:r>
                    <m:t>−</m:t>
                  </m:r>
                  <m:r>
                    <m:t>73</m:t>
                  </m:r>
                </m:sup>
              </m:sSup>
            </m:oMath>
          </w:p>
        </w:tc>
      </w:tr>
      <w:tr>
        <w:tc>
          <w:p/>
        </w:tc>
        <w:tc>
          <w:p/>
        </w:tc>
        <w:tc>
          <w:p/>
        </w:tc>
        <w:tc>
          <w:p/>
        </w:tc>
      </w:tr>
    </w:tbl>
    <w:bookmarkEnd w:id="50"/>
    <w:bookmarkStart w:id="51" w:name="tab:vol"/>
    <w:p>
      <w:pPr>
        <w:pStyle w:val="TableCaption"/>
      </w:pPr>
      <w:r>
        <w:rPr>
          <w:b/>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pct" w:w="0.0"/>
        <w:tblLook w:firstRow="1"/>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tr>
        <w:trPr>
          <w:cnfStyle w:firstRow="1"/>
        </w:trPr>
        <w:tc>
          <w:tcPr>
            <w:tcBorders>
              <w:bottom w:val="single"/>
            </w:tcBorders>
            <w:vAlign w:val="bottom"/>
          </w:tcPr>
          <w:p>
            <w:pPr>
              <w:pStyle w:val="Compact"/>
              <w:jc w:val="left"/>
            </w:pPr>
            <w:r>
              <w:t xml:space="preserve">Screener</w:t>
            </w:r>
          </w:p>
        </w:tc>
        <w:tc>
          <w:tcPr>
            <w:tcBorders>
              <w:bottom w:val="single"/>
            </w:tcBorders>
            <w:vAlign w:val="bottom"/>
          </w:tcPr>
          <w:p>
            <w:pPr>
              <w:pStyle w:val="Compact"/>
              <w:jc w:val="right"/>
            </w:pPr>
            <w:r>
              <w:t xml:space="preserve">FP rate (%)</w:t>
            </w:r>
          </w:p>
        </w:tc>
        <w:tc>
          <w:tcPr>
            <w:tcBorders>
              <w:bottom w:val="single"/>
            </w:tcBorders>
            <w:vAlign w:val="bottom"/>
          </w:tcPr>
          <w:p>
            <w:pPr>
              <w:pStyle w:val="Compact"/>
              <w:jc w:val="left"/>
            </w:pPr>
            <w:r>
              <w:t xml:space="preserve">Projected daily alerts (95% CI)</w:t>
            </w:r>
          </w:p>
        </w:tc>
        <w:tc>
          <w:tcPr>
            <w:tcBorders>
              <w:bottom w:val="single"/>
            </w:tcBorders>
            <w:vAlign w:val="bottom"/>
          </w:tcPr>
          <w:p>
            <w:pPr>
              <w:pStyle w:val="Compact"/>
              <w:jc w:val="right"/>
            </w:pPr>
            <w:r>
              <w:t xml:space="preserve">Precision (%)</w:t>
            </w:r>
          </w:p>
        </w:tc>
      </w:tr>
      <w:tr>
        <w:tc>
          <w:p>
            <w:pPr>
              <w:pStyle w:val="Compact"/>
              <w:jc w:val="left"/>
            </w:pPr>
            <w:r>
              <w:t xml:space="preserve">Supervised (ceiling)</w:t>
            </w:r>
          </w:p>
        </w:tc>
        <w:tc>
          <w:p>
            <w:pPr>
              <w:pStyle w:val="Compact"/>
              <w:jc w:val="right"/>
            </w:pPr>
            <w:r>
              <w:t xml:space="preserve">0.0</w:t>
            </w:r>
          </w:p>
        </w:tc>
        <w:tc>
          <w:p>
            <w:pPr>
              <w:pStyle w:val="Compact"/>
              <w:jc w:val="left"/>
            </w:pPr>
            <m:oMath>
              <m:r>
                <m:t>∼</m:t>
              </m:r>
            </m:oMath>
            <w:r>
              <w:t xml:space="preserve">1</w:t>
            </w:r>
            <w:r>
              <w:t xml:space="preserve">,</w:t>
            </w:r>
            <w:r>
              <w:t xml:space="preserve">000</w:t>
            </w:r>
          </w:p>
        </w:tc>
        <w:tc>
          <w:p>
            <w:pPr>
              <w:pStyle w:val="Compact"/>
              <w:jc w:val="right"/>
            </w:pPr>
            <w:r>
              <w:t xml:space="preserve">100</w:t>
            </w:r>
          </w:p>
        </w:tc>
      </w:tr>
      <w:tr>
        <w:tc>
          <w:p>
            <w:pPr>
              <w:pStyle w:val="Compact"/>
              <w:jc w:val="left"/>
            </w:pPr>
            <w:r>
              <w:t xml:space="preserve">Gemini Flash</w:t>
            </w:r>
          </w:p>
        </w:tc>
        <w:tc>
          <w:p>
            <w:pPr>
              <w:pStyle w:val="Compact"/>
              <w:jc w:val="right"/>
            </w:pPr>
            <w:r>
              <w:t xml:space="preserve">0.3</w:t>
            </w:r>
          </w:p>
        </w:tc>
        <w:tc>
          <w:p>
            <w:pPr>
              <w:pStyle w:val="Compact"/>
              <w:jc w:val="left"/>
            </w:pPr>
            <w:r>
              <w:t xml:space="preserve">4</w:t>
            </w:r>
            <w:r>
              <w:t xml:space="preserve">,</w:t>
            </w:r>
            <w:r>
              <w:t xml:space="preserve">200 (1</w:t>
            </w:r>
            <w:r>
              <w:t xml:space="preserve">,</w:t>
            </w:r>
            <w:r>
              <w:t xml:space="preserve">500–19</w:t>
            </w:r>
            <w:r>
              <w:t xml:space="preserve">,</w:t>
            </w:r>
            <w:r>
              <w:t xml:space="preserve">500)</w:t>
            </w:r>
          </w:p>
        </w:tc>
        <w:tc>
          <w:p>
            <w:pPr>
              <w:pStyle w:val="Compact"/>
              <w:jc w:val="right"/>
            </w:pPr>
            <w:r>
              <w:t xml:space="preserve">20.9</w:t>
            </w:r>
          </w:p>
        </w:tc>
      </w:tr>
      <w:tr>
        <w:tc>
          <w:p>
            <w:pPr>
              <w:pStyle w:val="Compact"/>
              <w:jc w:val="left"/>
            </w:pPr>
            <w:r>
              <w:t xml:space="preserve">GPT-4o</w:t>
            </w:r>
          </w:p>
        </w:tc>
        <w:tc>
          <w:p>
            <w:pPr>
              <w:pStyle w:val="Compact"/>
              <w:jc w:val="right"/>
            </w:pPr>
            <w:r>
              <w:t xml:space="preserve">1.0</w:t>
            </w:r>
          </w:p>
        </w:tc>
        <w:tc>
          <w:p>
            <w:pPr>
              <w:pStyle w:val="Compact"/>
              <w:jc w:val="left"/>
            </w:pPr>
            <w:r>
              <w:t xml:space="preserve">11</w:t>
            </w:r>
            <w:r>
              <w:t xml:space="preserve">,</w:t>
            </w:r>
            <w:r>
              <w:t xml:space="preserve">000 (4</w:t>
            </w:r>
            <w:r>
              <w:t xml:space="preserve">,</w:t>
            </w:r>
            <w:r>
              <w:t xml:space="preserve">400–29</w:t>
            </w:r>
            <w:r>
              <w:t xml:space="preserve">,</w:t>
            </w:r>
            <w:r>
              <w:t xml:space="preserve">900)</w:t>
            </w:r>
          </w:p>
        </w:tc>
        <w:tc>
          <w:p>
            <w:pPr>
              <w:pStyle w:val="Compact"/>
              <w:jc w:val="right"/>
            </w:pPr>
            <w:r>
              <w:t xml:space="preserve">8.8</w:t>
            </w:r>
          </w:p>
        </w:tc>
      </w:tr>
      <w:tr>
        <w:tc>
          <w:p>
            <w:pPr>
              <w:pStyle w:val="Compact"/>
              <w:jc w:val="left"/>
            </w:pPr>
            <w:r>
              <w:t xml:space="preserve">Rules baseline</w:t>
            </w:r>
          </w:p>
        </w:tc>
        <w:tc>
          <w:p>
            <w:pPr>
              <w:pStyle w:val="Compact"/>
              <w:jc w:val="right"/>
            </w:pPr>
            <w:r>
              <w:t xml:space="preserve">12.0</w:t>
            </w:r>
          </w:p>
        </w:tc>
        <w:tc>
          <w:p>
            <w:pPr>
              <w:pStyle w:val="Compact"/>
              <w:jc w:val="left"/>
            </w:pPr>
            <w:r>
              <w:t xml:space="preserve">121</w:t>
            </w:r>
            <w:r>
              <w:t xml:space="preserve">,</w:t>
            </w:r>
            <w:r>
              <w:t xml:space="preserve">000 (88</w:t>
            </w:r>
            <w:r>
              <w:t xml:space="preserve">,</w:t>
            </w:r>
            <w:r>
              <w:t xml:space="preserve">700–162</w:t>
            </w:r>
            <w:r>
              <w:t xml:space="preserve">,</w:t>
            </w:r>
            <w:r>
              <w:t xml:space="preserve">000)</w:t>
            </w:r>
          </w:p>
        </w:tc>
        <w:tc>
          <w:p>
            <w:pPr>
              <w:pStyle w:val="Compact"/>
              <w:jc w:val="right"/>
            </w:pPr>
            <w:r>
              <w:t xml:space="preserve">0.7</w:t>
            </w:r>
          </w:p>
        </w:tc>
      </w:tr>
      <w:tr>
        <w:tc>
          <w:p>
            <w:pPr>
              <w:pStyle w:val="Compact"/>
              <w:jc w:val="left"/>
            </w:pPr>
            <w:r>
              <w:t xml:space="preserve">GPT-4.1-mini</w:t>
            </w:r>
          </w:p>
        </w:tc>
        <w:tc>
          <w:p>
            <w:pPr>
              <w:pStyle w:val="Compact"/>
              <w:jc w:val="right"/>
            </w:pPr>
            <w:r>
              <w:t xml:space="preserve">23.7</w:t>
            </w:r>
          </w:p>
        </w:tc>
        <w:tc>
          <w:p>
            <w:pPr>
              <w:pStyle w:val="Compact"/>
              <w:jc w:val="left"/>
            </w:pPr>
            <w:r>
              <w:t xml:space="preserve">237</w:t>
            </w:r>
            <w:r>
              <w:t xml:space="preserve">,</w:t>
            </w:r>
            <w:r>
              <w:t xml:space="preserve">000 (193</w:t>
            </w:r>
            <w:r>
              <w:t xml:space="preserve">,</w:t>
            </w:r>
            <w:r>
              <w:t xml:space="preserve">000–289</w:t>
            </w:r>
            <w:r>
              <w:t xml:space="preserve">,</w:t>
            </w:r>
            <w:r>
              <w:t xml:space="preserve">000)</w:t>
            </w:r>
          </w:p>
        </w:tc>
        <w:tc>
          <w:p>
            <w:pPr>
              <w:pStyle w:val="Compact"/>
              <w:jc w:val="right"/>
            </w:pPr>
            <w:r>
              <w:t xml:space="preserve">0.4</w:t>
            </w:r>
          </w:p>
        </w:tc>
      </w:tr>
      <w:tr>
        <w:tc>
          <w:p>
            <w:pPr>
              <w:pStyle w:val="Compact"/>
              <w:jc w:val="left"/>
            </w:pPr>
            <w:r>
              <w:t xml:space="preserve">Gemini Flash-Lite</w:t>
            </w:r>
          </w:p>
        </w:tc>
        <w:tc>
          <w:p>
            <w:pPr>
              <w:pStyle w:val="Compact"/>
              <w:jc w:val="right"/>
            </w:pPr>
            <w:r>
              <w:t xml:space="preserve">24.7</w:t>
            </w:r>
          </w:p>
        </w:tc>
        <w:tc>
          <w:p>
            <w:pPr>
              <w:pStyle w:val="Compact"/>
              <w:jc w:val="left"/>
            </w:pPr>
            <w:r>
              <w:t xml:space="preserve">247</w:t>
            </w:r>
            <w:r>
              <w:t xml:space="preserve">,</w:t>
            </w:r>
            <w:r>
              <w:t xml:space="preserve">000 (202</w:t>
            </w:r>
            <w:r>
              <w:t xml:space="preserve">,</w:t>
            </w:r>
            <w:r>
              <w:t xml:space="preserve">000–299</w:t>
            </w:r>
            <w:r>
              <w:t xml:space="preserve">,</w:t>
            </w:r>
            <w:r>
              <w:t xml:space="preserve">000)</w:t>
            </w:r>
          </w:p>
        </w:tc>
        <w:tc>
          <w:p>
            <w:pPr>
              <w:pStyle w:val="Compact"/>
              <w:jc w:val="right"/>
            </w:pPr>
            <w:r>
              <w:t xml:space="preserve">0.4</w:t>
            </w:r>
          </w:p>
        </w:tc>
      </w:tr>
      <w:tr>
        <w:tc>
          <w:p>
            <w:pPr>
              <w:pStyle w:val="Compact"/>
              <w:jc w:val="left"/>
            </w:pPr>
            <w:r>
              <w:t xml:space="preserve">GPT-4o-mini</w:t>
            </w:r>
          </w:p>
        </w:tc>
        <w:tc>
          <w:p>
            <w:pPr>
              <w:pStyle w:val="Compact"/>
              <w:jc w:val="right"/>
            </w:pPr>
            <w:r>
              <w:t xml:space="preserve">83.0</w:t>
            </w:r>
          </w:p>
        </w:tc>
        <w:tc>
          <w:p>
            <w:pPr>
              <w:pStyle w:val="Compact"/>
              <w:jc w:val="left"/>
            </w:pPr>
            <w:r>
              <w:t xml:space="preserve">830</w:t>
            </w:r>
            <w:r>
              <w:t xml:space="preserve">,</w:t>
            </w:r>
            <w:r>
              <w:t xml:space="preserve">000 (784</w:t>
            </w:r>
            <w:r>
              <w:t xml:space="preserve">,</w:t>
            </w:r>
            <w:r>
              <w:t xml:space="preserve">000–868</w:t>
            </w:r>
            <w:r>
              <w:t xml:space="preserve">,</w:t>
            </w:r>
            <w:r>
              <w:t xml:space="preserve">000)</w:t>
            </w:r>
          </w:p>
        </w:tc>
        <w:tc>
          <w:p>
            <w:pPr>
              <w:pStyle w:val="Compact"/>
              <w:jc w:val="right"/>
            </w:pPr>
            <w:r>
              <w:t xml:space="preserve">0.1</w:t>
            </w:r>
          </w:p>
        </w:tc>
      </w:tr>
      <w:tr>
        <w:tc>
          <w:p/>
        </w:tc>
        <w:tc>
          <w:p/>
        </w:tc>
        <w:tc>
          <w:p/>
        </w:tc>
        <w:tc>
          <w:p/>
        </w:tc>
      </w:tr>
    </w:tbl>
    <w:bookmarkEnd w:id="51"/>
    <w:bookmarkStart w:id="52" w:name="tab:vote"/>
    <w:p>
      <w:pPr>
        <w:pStyle w:val="TableCaption"/>
      </w:pPr>
      <w:r>
        <w:rPr>
          <w:b/>
        </w:rPr>
        <w:t xml:space="preserve">Per-case endpoint aggregation rule.</w:t>
      </w:r>
      <w:r>
        <w:t xml:space="preserve"> </w:t>
      </w:r>
      <w:r>
        <w:t xml:space="preserve">The rule was fixed in advance (preregistration decision D4); it was applied identically to every model.</w:t>
      </w:r>
    </w:p>
    <w:tbl>
      <w:tblPr>
        <w:tblStyle w:val="Table"/>
        <w:tblW w:type="pct" w:w="0.0"/>
        <w:tblLook w:firstRow="1"/>
        <w:tblCaption w:val="Per-case endpoint aggregation rule. The rule was fixed in advance (preregistration decision D4); it was applied identically to every model."/>
      </w:tblPr>
      <w:tblGrid/>
      <w:tr>
        <w:trPr>
          <w:cnfStyle w:firstRow="1"/>
        </w:trPr>
        <w:tc>
          <w:tcPr>
            <w:tcBorders>
              <w:bottom w:val="single"/>
            </w:tcBorders>
            <w:vAlign w:val="bottom"/>
          </w:tcPr>
          <w:p>
            <w:pPr>
              <w:pStyle w:val="Compact"/>
              <w:jc w:val="left"/>
            </w:pPr>
            <w:r>
              <w:t xml:space="preserve">Element</w:t>
            </w:r>
          </w:p>
        </w:tc>
        <w:tc>
          <w:tcPr>
            <w:tcBorders>
              <w:bottom w:val="single"/>
            </w:tcBorders>
            <w:vAlign w:val="bottom"/>
          </w:tcPr>
          <w:p>
            <w:pPr>
              <w:pStyle w:val="Compact"/>
              <w:jc w:val="left"/>
            </w:pPr>
            <w:r>
              <w:t xml:space="preserve">Rule</w:t>
            </w:r>
          </w:p>
        </w:tc>
      </w:tr>
      <w:tr>
        <w:tc>
          <w:p>
            <w:pPr>
              <w:pStyle w:val="Compact"/>
              <w:jc w:val="left"/>
            </w:pPr>
            <w:r>
              <w:t xml:space="preserve">Replicate calls per case</w:t>
            </w:r>
          </w:p>
        </w:tc>
        <w:tc>
          <w:p>
            <w:pPr>
              <w:pStyle w:val="Compact"/>
              <w:jc w:val="left"/>
            </w:pPr>
            <w:r>
              <w:t xml:space="preserve">The valid (non-ERROR) calls for each (model, case): four by design (two prompt phrasings</w:t>
            </w:r>
            <w:r>
              <w:t xml:space="preserve"> </w:t>
            </w:r>
            <m:oMath>
              <m:r>
                <m:t>×</m:t>
              </m:r>
            </m:oMath>
            <w:r>
              <w:t xml:space="preserve"> </w:t>
            </w:r>
            <w:r>
              <w:t xml:space="preserve">two seeds); a small number of cases carry one additional retried call</w:t>
            </w:r>
          </w:p>
        </w:tc>
      </w:tr>
      <w:tr>
        <w:tc>
          <w:p>
            <w:pPr>
              <w:pStyle w:val="Compact"/>
              <w:jc w:val="left"/>
            </w:pPr>
            <w:r>
              <w:t xml:space="preserve">Failed / unparsable calls</w:t>
            </w:r>
          </w:p>
        </w:tc>
        <w:tc>
          <w:p>
            <w:pPr>
              <w:pStyle w:val="Compact"/>
              <w:jc w:val="left"/>
            </w:pPr>
            <w:r>
              <w:t xml:space="preserve">Recorded as ERROR and excluded from the vote (the denominator is reduced accordingly); overall ERROR rate 0.08%</w:t>
            </w:r>
          </w:p>
        </w:tc>
      </w:tr>
      <w:tr>
        <w:tc>
          <w:p>
            <w:pPr>
              <w:pStyle w:val="Compact"/>
              <w:jc w:val="left"/>
            </w:pPr>
            <w:r>
              <w:t xml:space="preserve">Legitimate (benign) case</w:t>
            </w:r>
          </w:p>
        </w:tc>
        <w:tc>
          <w:p>
            <w:pPr>
              <w:pStyle w:val="Compact"/>
              <w:jc w:val="left"/>
            </w:pPr>
            <w:r>
              <w:t xml:space="preserve">Counted as a false positive only if a strict majority of valid calls flagged it (flags</w:t>
            </w:r>
            <w:r>
              <w:t xml:space="preserve"> </w:t>
            </w:r>
            <m:oMath>
              <m:r>
                <m:t>&gt;</m:t>
              </m:r>
            </m:oMath>
            <w:r>
              <w:t xml:space="preserve"> </w:t>
            </w:r>
            <w:r>
              <w:t xml:space="preserve">half); a 2–2 tie is not counted as a false positive</w:t>
            </w:r>
          </w:p>
        </w:tc>
      </w:tr>
      <w:tr>
        <w:tc>
          <w:p>
            <w:pPr>
              <w:pStyle w:val="Compact"/>
              <w:jc w:val="left"/>
            </w:pPr>
            <w:r>
              <w:t xml:space="preserve">Suspicious case</w:t>
            </w:r>
          </w:p>
        </w:tc>
        <w:tc>
          <w:p>
            <w:pPr>
              <w:pStyle w:val="Compact"/>
              <w:jc w:val="left"/>
            </w:pPr>
            <w:r>
              <w:t xml:space="preserve">Counted as caught (not missed) if at least half of valid calls flagged it (flags</w:t>
            </w:r>
            <w:r>
              <w:t xml:space="preserve"> </w:t>
            </w:r>
            <m:oMath>
              <m:r>
                <m:t>≥</m:t>
              </m:r>
            </m:oMath>
            <w:r>
              <w:t xml:space="preserve"> </w:t>
            </w:r>
            <w:r>
              <w:t xml:space="preserve">half); a 2–2 tie is counted as caught</w:t>
            </w:r>
          </w:p>
        </w:tc>
      </w:tr>
      <w:tr>
        <w:tc>
          <w:p>
            <w:pPr>
              <w:pStyle w:val="Compact"/>
              <w:jc w:val="left"/>
            </w:pPr>
            <w:r>
              <w:t xml:space="preserve">Even-split ties</w:t>
            </w:r>
          </w:p>
        </w:tc>
        <w:tc>
          <w:p>
            <w:pPr>
              <w:pStyle w:val="Compact"/>
              <w:jc w:val="left"/>
            </w:pPr>
            <w:r>
              <w:t xml:space="preserve">Occurred and were resolved as above, affecting 132 of the 1</w:t>
            </w:r>
            <w:r>
              <w:t xml:space="preserve">,</w:t>
            </w:r>
            <w:r>
              <w:t xml:space="preserve">500 benign and 48 of the 1</w:t>
            </w:r>
            <w:r>
              <w:t xml:space="preserve">,</w:t>
            </w:r>
            <w:r>
              <w:t xml:space="preserve">500 suspicious model–case decisions</w:t>
            </w:r>
          </w:p>
        </w:tc>
      </w:tr>
      <w:tr>
        <w:tc>
          <w:p/>
        </w:tc>
        <w:tc>
          <w:p/>
        </w:tc>
      </w:tr>
    </w:tbl>
    <w:bookmarkEnd w:id="52"/>
    <w:p>
      <w:pPr>
        <w:pStyle w:val="BodyText"/>
      </w:pPr>
      <w:r>
        <w:t xml:space="preserve">Analyses used open-source software (Python, NumPy, scikit-learn, SciPy, Matplotlib); the authors thank the maintainers of these open-source projects.</w:t>
      </w:r>
    </w:p>
    <w:p>
      <w:pPr>
        <w:pStyle w:val="Heading1"/>
      </w:pPr>
      <w:bookmarkStart w:id="53" w:name="declarations"/>
      <w:r>
        <w:t xml:space="preserve">Declarations</w:t>
      </w:r>
      <w:bookmarkEnd w:id="53"/>
    </w:p>
    <w:p>
      <w:pPr>
        <w:pStyle w:val="FirstParagraph"/>
      </w:pPr>
      <w:r>
        <w:rPr>
          <w:b/>
        </w:rPr>
        <w:t xml:space="preserve">Funding.</w:t>
      </w:r>
      <w:r>
        <w:t xml:space="preserve"> </w:t>
      </w:r>
      <w:r>
        <w:t xml:space="preserve">No funding was received for this study.</w:t>
      </w:r>
    </w:p>
    <w:p>
      <w:pPr>
        <w:pStyle w:val="BodyText"/>
      </w:pPr>
      <w:r>
        <w:rPr>
          <w:b/>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rPr>
        <w:t xml:space="preserve">Data availability.</w:t>
      </w:r>
      <w:r>
        <w:t xml:space="preserve"> </w:t>
      </w:r>
      <w:r>
        <w:t xml:space="preserve">All data and code required to reproduce the study are openly available in the public GitHub repository at</w:t>
      </w:r>
      <w:r>
        <w:t xml:space="preserve"> </w:t>
      </w:r>
      <w:hyperlink r:id="rId54">
        <w:r>
          <w:rPr>
            <w:rStyle w:val="Hyperlink"/>
          </w:rPr>
          <w:t xml:space="preserve">https://github.com/samirrc2/ai-foundation-model-aml-false-positives</w:t>
        </w:r>
      </w:hyperlink>
      <w:r>
        <w:t xml:space="preserve"> </w:t>
      </w:r>
      <w:r>
        <w:t xml:space="preserve">(MIT licence); the repository root includes</w:t>
      </w:r>
      <w:r>
        <w:t xml:space="preserve"> </w:t>
      </w:r>
      <w:r>
        <w:rPr>
          <w:rStyle w:val="VerbatimChar"/>
        </w:rPr>
        <w:t xml:space="preserve">REPRODUCIBILITY_DOCUMENTATION.pdf</w:t>
      </w:r>
      <w:r>
        <w:t xml:space="preserve">, a section-by-section guide to every input, script, and output and to the one-command offline reproduction. Within the repository’s reproducibility capsule (</w:t>
      </w:r>
      <w:r>
        <w:rPr>
          <w:rStyle w:val="VerbatimChar"/>
        </w:rPr>
        <w:t xml:space="preserve">capsule/</w:t>
      </w:r>
      <w:r>
        <w:t xml:space="preserve">), the</w:t>
      </w:r>
      <w:r>
        <w:t xml:space="preserve"> </w:t>
      </w:r>
      <w:r>
        <w:rPr>
          <w:rStyle w:val="VerbatimChar"/>
        </w:rPr>
        <w:t xml:space="preserve">data/</w:t>
      </w:r>
      <w:r>
        <w:t xml:space="preserve"> </w:t>
      </w:r>
      <w:r>
        <w:t xml:space="preserve">directory contains: the frozen 600-case battery (</w:t>
      </w:r>
      <w:r>
        <w:rPr>
          <w:rStyle w:val="VerbatimChar"/>
        </w:rPr>
        <w:t xml:space="preserve">data/battery/full.jsonl</w:t>
      </w:r>
      <w:r>
        <w:t xml:space="preserve">: 300 legitimate hard-negatives and 300 suspicious cases across eight FATF/SAML-D-anchored typologies;</w:t>
      </w:r>
      <w:r>
        <w:t xml:space="preserve"> </w:t>
      </w:r>
      <w:r>
        <w:rPr>
          <w:rStyle w:val="VerbatimChar"/>
        </w:rPr>
        <w:t xml:space="preserve">pilot.jsonl</w:t>
      </w:r>
      <w:r>
        <w:t xml:space="preserve"> </w:t>
      </w:r>
      <w:r>
        <w:t xml:space="preserve">is the seeded subsample); the complete 12,000-call response corpus (</w:t>
      </w:r>
      <w:r>
        <w:rPr>
          <w:rStyle w:val="VerbatimChar"/>
        </w:rPr>
        <w:t xml:space="preserve">data/capture/runs_full_&lt;model&gt;_&lt;variant&gt;.csv</w:t>
      </w:r>
      <w:r>
        <w:t xml:space="preserve">, ten files spanning five models</w:t>
      </w:r>
      <w:r>
        <w:t xml:space="preserve"> </w:t>
      </w:r>
      <m:oMath>
        <m:r>
          <m:t>×</m:t>
        </m:r>
      </m:oMath>
      <w:r>
        <w:t xml:space="preserve"> </w:t>
      </w:r>
      <w:r>
        <w:t xml:space="preserve">two prompt variants</w:t>
      </w:r>
      <w:r>
        <w:t xml:space="preserve"> </w:t>
      </w:r>
      <m:oMath>
        <m:r>
          <m:t>×</m:t>
        </m:r>
      </m:oMath>
      <w:r>
        <w:t xml:space="preserve"> </w:t>
      </w:r>
      <w:r>
        <w:t xml:space="preserve">two seeds</w:t>
      </w:r>
      <w:r>
        <w:t xml:space="preserve"> </w:t>
      </w:r>
      <m:oMath>
        <m:r>
          <m:t>×</m:t>
        </m:r>
      </m:oMath>
      <w:r>
        <w:t xml:space="preserve"> </w:t>
      </w:r>
      <w:r>
        <w:t xml:space="preserve">600 cases, each row carrying the raw model JSON, the served-model identifier, token counts and per-call cost); the per-file SHA-256 freeze receipts (</w:t>
      </w:r>
      <w:r>
        <w:rPr>
          <w:rStyle w:val="VerbatimChar"/>
        </w:rPr>
        <w:t xml:space="preserve">data/frozen/*.freeze.json</w:t>
      </w:r>
      <w:r>
        <w:t xml:space="preserve">), which the analysis checks before running and refuses any file whose hash does not match; the battery specification, model registry and capture grid (</w:t>
      </w:r>
      <w:r>
        <w:rPr>
          <w:rStyle w:val="VerbatimChar"/>
        </w:rPr>
        <w:t xml:space="preserve">data/configs/</w:t>
      </w:r>
      <w:r>
        <w:t xml:space="preserve">); and the battery content hash (</w:t>
      </w:r>
      <w:r>
        <w:rPr>
          <w:rStyle w:val="VerbatimChar"/>
        </w:rPr>
        <w:t xml:space="preserve">data/manifest/battery_manifest.json</w:t>
      </w:r>
      <w:r>
        <w:t xml:space="preserve">). The frozen preregistration and its amendment/pivot history are in</w:t>
      </w:r>
      <w:r>
        <w:t xml:space="preserve"> </w:t>
      </w:r>
      <w:r>
        <w:rPr>
          <w:rStyle w:val="VerbatimChar"/>
        </w:rPr>
        <w:t xml:space="preserve">capsule/docs/</w:t>
      </w:r>
      <w:r>
        <w:t xml:space="preserve">, the deterministic analysis in</w:t>
      </w:r>
      <w:r>
        <w:t xml:space="preserve"> </w:t>
      </w:r>
      <w:r>
        <w:rPr>
          <w:rStyle w:val="VerbatimChar"/>
        </w:rPr>
        <w:t xml:space="preserve">capsule/code/</w:t>
      </w:r>
      <w:r>
        <w:t xml:space="preserve">, and pre-computed outputs in</w:t>
      </w:r>
      <w:r>
        <w:t xml:space="preserve"> </w:t>
      </w:r>
      <w:r>
        <w:rPr>
          <w:rStyle w:val="VerbatimChar"/>
        </w:rPr>
        <w:t xml:space="preserve">capsule/results/</w:t>
      </w:r>
      <w:r>
        <w:t xml:space="preserve"> </w:t>
      </w:r>
      <w:r>
        <w:t xml:space="preserve">(operating-point and alert-volume tables, per-model classification metrics, prompt-sensitivity, baselines, statistical tests, and</w:t>
      </w:r>
      <w:r>
        <w:t xml:space="preserve"> </w:t>
      </w:r>
      <w:r>
        <w:rPr>
          <w:rStyle w:val="VerbatimChar"/>
        </w:rPr>
        <w:t xml:space="preserve">pivot_claims.json</w:t>
      </w:r>
      <w:r>
        <w:t xml:space="preserve">, which pairs every reported number with its confidence interval and the configuration hash that produced it). Running</w:t>
      </w:r>
      <w:r>
        <w:t xml:space="preserve"> </w:t>
      </w:r>
      <w:r>
        <w:rPr>
          <w:rStyle w:val="VerbatimChar"/>
        </w:rPr>
        <w:t xml:space="preserve">capsule/reproduce.sh</w:t>
      </w:r>
      <w:r>
        <w:t xml:space="preserve"> </w:t>
      </w:r>
      <w:r>
        <w:t xml:space="preserve">regenerates every reported number, table and figure byte-identically, offline, with no API keys and at zero cost. The study uses only synthetic data: no human participants, no proprietary records, and no live model access are needed to reproduce any result.</w:t>
      </w:r>
    </w:p>
    <w:p>
      <w:pPr>
        <w:pStyle w:val="BodyText"/>
      </w:pPr>
      <w:r>
        <w:rPr>
          <w:b/>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54">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rPr>
        <w:t xml:space="preserve">Competing interests.</w:t>
      </w:r>
      <w:r>
        <w:t xml:space="preserve"> </w:t>
      </w:r>
      <w:r>
        <w:t xml:space="preserve">The authors declare no competing interests.</w:t>
      </w:r>
    </w:p>
    <w:p>
      <w:pPr>
        <w:pStyle w:val="BodyText"/>
      </w:pPr>
      <w:r>
        <w:rPr>
          <w:b/>
        </w:rPr>
        <w:t xml:space="preserve">Ethics approval and consent to participate.</w:t>
      </w:r>
      <w:r>
        <w:t xml:space="preserve"> </w:t>
      </w:r>
      <w:r>
        <w:t xml:space="preserve">Not applicable (synthetic data only; no human participants, human tissue or animals).</w:t>
      </w:r>
    </w:p>
    <w:p>
      <w:pPr>
        <w:pStyle w:val="BodyText"/>
      </w:pPr>
      <w:r>
        <w:rPr>
          <w:b/>
        </w:rPr>
        <w:t xml:space="preserve">Consent for publication.</w:t>
      </w:r>
      <w:r>
        <w:t xml:space="preserve"> </w:t>
      </w:r>
      <w:r>
        <w:t xml:space="preserve">Not applicable.</w:t>
      </w:r>
    </w:p>
    <w:p>
      <w:pPr>
        <w:pStyle w:val="BodyText"/>
      </w:pPr>
      <w:r>
        <w:rPr>
          <w:b/>
        </w:rPr>
        <w:t xml:space="preserve">Materials availability.</w:t>
      </w:r>
      <w:r>
        <w:t xml:space="preserve"> </w:t>
      </w:r>
      <w:r>
        <w:t xml:space="preserve">Not applicable (the study uses only synthetic data and open-source software; no physical materials).</w:t>
      </w:r>
    </w:p>
    <w:p>
      <w:pPr>
        <w:pStyle w:val="BodyText"/>
      </w:pPr>
      <w:r>
        <w:rPr>
          <w:b/>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rPr>
        <w:t xml:space="preserve">ORCID.</w:t>
      </w:r>
      <w:r>
        <w:t xml:space="preserve"> </w:t>
      </w:r>
      <w:r>
        <w:t xml:space="preserve">S.C. 0009-0007-2779-3492; R.C. 0009-0007-2807-3948.</w:t>
      </w:r>
    </w:p>
    <w:p>
      <w:pPr>
        <w:pStyle w:val="Heading1"/>
      </w:pPr>
      <w:bookmarkStart w:id="55" w:name="references"/>
      <w:r>
        <w:t xml:space="preserve">References</w:t>
      </w:r>
      <w:bookmarkEnd w:id="55"/>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56">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57">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58">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59">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0">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1">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2">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3">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64">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65">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66">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67">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68">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69">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0">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1">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2">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3">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74">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75">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76">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w:t>
      </w:r>
      <w:r>
        <w:t xml:space="preserve">: explaining the predictions of any classifier. In: Proc. ACM SIGKDD Int. Conf. Knowledge Discovery and Data Mining, pp 1135–1144,</w:t>
      </w:r>
      <w:r>
        <w:t xml:space="preserve"> </w:t>
      </w:r>
      <w:hyperlink r:id="rId77">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78">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79">
        <w:r>
          <w:rPr>
            <w:rStyle w:val="Hyperlink"/>
          </w:rPr>
          <w:t xml:space="preserve">https://doi.org/10.1007/s44163-026-01283-3</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0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1" Target="media/rId41.png" /><Relationship Type="http://schemas.openxmlformats.org/officeDocument/2006/relationships/image" Id="rId43" Target="media/rId43.png" /><Relationship Type="http://schemas.openxmlformats.org/officeDocument/2006/relationships/image" Id="rId45" Target="media/rId45.png" /><Relationship Type="http://schemas.openxmlformats.org/officeDocument/2006/relationships/image" Id="rId47" Target="media/rId47.png" /><Relationship Type="http://schemas.openxmlformats.org/officeDocument/2006/relationships/hyperlink" Id="rId66" Target="https://doi.org/10.1002/isaf.1509" TargetMode="External" /><Relationship Type="http://schemas.openxmlformats.org/officeDocument/2006/relationships/hyperlink" Id="rId63" Target="https://doi.org/10.1002/wics.70040" TargetMode="External" /><Relationship Type="http://schemas.openxmlformats.org/officeDocument/2006/relationships/hyperlink" Id="rId72" Target="https://doi.org/10.1007/BF02295996" TargetMode="External" /><Relationship Type="http://schemas.openxmlformats.org/officeDocument/2006/relationships/hyperlink" Id="rId58" Target="https://doi.org/10.1007/s44163-025-00574-5" TargetMode="External" /><Relationship Type="http://schemas.openxmlformats.org/officeDocument/2006/relationships/hyperlink" Id="rId74" Target="https://doi.org/10.1007/s44163-026-00866-4" TargetMode="External" /><Relationship Type="http://schemas.openxmlformats.org/officeDocument/2006/relationships/hyperlink" Id="rId57" Target="https://doi.org/10.1007/s44163-026-00894-0" TargetMode="External" /><Relationship Type="http://schemas.openxmlformats.org/officeDocument/2006/relationships/hyperlink" Id="rId79" Target="https://doi.org/10.1007/s44163-026-01283-3" TargetMode="External" /><Relationship Type="http://schemas.openxmlformats.org/officeDocument/2006/relationships/hyperlink" Id="rId56" Target="https://doi.org/10.1016/j.cosrev.2021.100402" TargetMode="External" /><Relationship Type="http://schemas.openxmlformats.org/officeDocument/2006/relationships/hyperlink" Id="rId75" Target="https://doi.org/10.1016/j.dss.2020.113303" TargetMode="External" /><Relationship Type="http://schemas.openxmlformats.org/officeDocument/2006/relationships/hyperlink" Id="rId62" Target="https://doi.org/10.1017/can.2022.3" TargetMode="External" /><Relationship Type="http://schemas.openxmlformats.org/officeDocument/2006/relationships/hyperlink" Id="rId69" Target="https://doi.org/10.1038/s41597-023-02569-2" TargetMode="External" /><Relationship Type="http://schemas.openxmlformats.org/officeDocument/2006/relationships/hyperlink" Id="rId71" Target="https://doi.org/10.1073/pnas.2018340118" TargetMode="External" /><Relationship Type="http://schemas.openxmlformats.org/officeDocument/2006/relationships/hyperlink" Id="rId78" Target="https://doi.org/10.1080/01621459.1927.10502953" TargetMode="External" /><Relationship Type="http://schemas.openxmlformats.org/officeDocument/2006/relationships/hyperlink" Id="rId61" Target="https://doi.org/10.1093/biomet/37.3-4.256" TargetMode="External" /><Relationship Type="http://schemas.openxmlformats.org/officeDocument/2006/relationships/hyperlink" Id="rId70" Target="https://doi.org/10.1108/JMLC-07-2019-0055" TargetMode="External" /><Relationship Type="http://schemas.openxmlformats.org/officeDocument/2006/relationships/hyperlink" Id="rId68" Target="https://doi.org/10.1109/TKDE.2008.239" TargetMode="External" /><Relationship Type="http://schemas.openxmlformats.org/officeDocument/2006/relationships/hyperlink" Id="rId77" Target="https://doi.org/10.1145/2939672.2939778" TargetMode="External" /><Relationship Type="http://schemas.openxmlformats.org/officeDocument/2006/relationships/hyperlink" Id="rId73" Target="https://doi.org/10.1145/3287560.3287596" TargetMode="External" /><Relationship Type="http://schemas.openxmlformats.org/officeDocument/2006/relationships/hyperlink" Id="rId76" Target="https://doi.org/10.1145/3351095.3372873" TargetMode="External" /><Relationship Type="http://schemas.openxmlformats.org/officeDocument/2006/relationships/hyperlink" Id="rId59" Target="https://doi.org/10.1145/3442188.3445922" TargetMode="External" /><Relationship Type="http://schemas.openxmlformats.org/officeDocument/2006/relationships/hyperlink" Id="rId65" Target="https://doi.org/10.1145/3458723" TargetMode="External" /><Relationship Type="http://schemas.openxmlformats.org/officeDocument/2006/relationships/hyperlink" Id="rId64" Target="https://doi.org/10.1214/aos/1176344552" TargetMode="External" /><Relationship Type="http://schemas.openxmlformats.org/officeDocument/2006/relationships/hyperlink" Id="rId67" Target="https://doi.org/10.1348/000711006X126600" TargetMode="External" /><Relationship Type="http://schemas.openxmlformats.org/officeDocument/2006/relationships/hyperlink" Id="rId60" Target="https://doi.org/10.1613/jair.953" TargetMode="External" /><Relationship Type="http://schemas.openxmlformats.org/officeDocument/2006/relationships/hyperlink" Id="rId54" Target="https://github.com/samirrc2/ai-foundation-model-aml-false-positives" TargetMode="External" /></Relationships>
</file>

<file path=word/_rels/footnotes.xml.rels><?xml version="1.0" encoding="UTF-8"?>
<Relationships xmlns="http://schemas.openxmlformats.org/package/2006/relationships"><Relationship Type="http://schemas.openxmlformats.org/officeDocument/2006/relationships/hyperlink" Id="rId66" Target="https://doi.org/10.1002/isaf.1509" TargetMode="External" /><Relationship Type="http://schemas.openxmlformats.org/officeDocument/2006/relationships/hyperlink" Id="rId63" Target="https://doi.org/10.1002/wics.70040" TargetMode="External" /><Relationship Type="http://schemas.openxmlformats.org/officeDocument/2006/relationships/hyperlink" Id="rId72" Target="https://doi.org/10.1007/BF02295996" TargetMode="External" /><Relationship Type="http://schemas.openxmlformats.org/officeDocument/2006/relationships/hyperlink" Id="rId58" Target="https://doi.org/10.1007/s44163-025-00574-5" TargetMode="External" /><Relationship Type="http://schemas.openxmlformats.org/officeDocument/2006/relationships/hyperlink" Id="rId74" Target="https://doi.org/10.1007/s44163-026-00866-4" TargetMode="External" /><Relationship Type="http://schemas.openxmlformats.org/officeDocument/2006/relationships/hyperlink" Id="rId57" Target="https://doi.org/10.1007/s44163-026-00894-0" TargetMode="External" /><Relationship Type="http://schemas.openxmlformats.org/officeDocument/2006/relationships/hyperlink" Id="rId79" Target="https://doi.org/10.1007/s44163-026-01283-3" TargetMode="External" /><Relationship Type="http://schemas.openxmlformats.org/officeDocument/2006/relationships/hyperlink" Id="rId56" Target="https://doi.org/10.1016/j.cosrev.2021.100402" TargetMode="External" /><Relationship Type="http://schemas.openxmlformats.org/officeDocument/2006/relationships/hyperlink" Id="rId75" Target="https://doi.org/10.1016/j.dss.2020.113303" TargetMode="External" /><Relationship Type="http://schemas.openxmlformats.org/officeDocument/2006/relationships/hyperlink" Id="rId62" Target="https://doi.org/10.1017/can.2022.3" TargetMode="External" /><Relationship Type="http://schemas.openxmlformats.org/officeDocument/2006/relationships/hyperlink" Id="rId69" Target="https://doi.org/10.1038/s41597-023-02569-2" TargetMode="External" /><Relationship Type="http://schemas.openxmlformats.org/officeDocument/2006/relationships/hyperlink" Id="rId71" Target="https://doi.org/10.1073/pnas.2018340118" TargetMode="External" /><Relationship Type="http://schemas.openxmlformats.org/officeDocument/2006/relationships/hyperlink" Id="rId78" Target="https://doi.org/10.1080/01621459.1927.10502953" TargetMode="External" /><Relationship Type="http://schemas.openxmlformats.org/officeDocument/2006/relationships/hyperlink" Id="rId61" Target="https://doi.org/10.1093/biomet/37.3-4.256" TargetMode="External" /><Relationship Type="http://schemas.openxmlformats.org/officeDocument/2006/relationships/hyperlink" Id="rId70" Target="https://doi.org/10.1108/JMLC-07-2019-0055" TargetMode="External" /><Relationship Type="http://schemas.openxmlformats.org/officeDocument/2006/relationships/hyperlink" Id="rId68" Target="https://doi.org/10.1109/TKDE.2008.239" TargetMode="External" /><Relationship Type="http://schemas.openxmlformats.org/officeDocument/2006/relationships/hyperlink" Id="rId77" Target="https://doi.org/10.1145/2939672.2939778" TargetMode="External" /><Relationship Type="http://schemas.openxmlformats.org/officeDocument/2006/relationships/hyperlink" Id="rId73" Target="https://doi.org/10.1145/3287560.3287596" TargetMode="External" /><Relationship Type="http://schemas.openxmlformats.org/officeDocument/2006/relationships/hyperlink" Id="rId76" Target="https://doi.org/10.1145/3351095.3372873" TargetMode="External" /><Relationship Type="http://schemas.openxmlformats.org/officeDocument/2006/relationships/hyperlink" Id="rId59" Target="https://doi.org/10.1145/3442188.3445922" TargetMode="External" /><Relationship Type="http://schemas.openxmlformats.org/officeDocument/2006/relationships/hyperlink" Id="rId65" Target="https://doi.org/10.1145/3458723" TargetMode="External" /><Relationship Type="http://schemas.openxmlformats.org/officeDocument/2006/relationships/hyperlink" Id="rId64" Target="https://doi.org/10.1214/aos/1176344552" TargetMode="External" /><Relationship Type="http://schemas.openxmlformats.org/officeDocument/2006/relationships/hyperlink" Id="rId67" Target="https://doi.org/10.1348/000711006X126600" TargetMode="External" /><Relationship Type="http://schemas.openxmlformats.org/officeDocument/2006/relationships/hyperlink" Id="rId60" Target="https://doi.org/10.1613/jair.953" TargetMode="External" /><Relationship Type="http://schemas.openxmlformats.org/officeDocument/2006/relationships/hyperlink" Id="rId54"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2026-08-20T02:57:00Z</dcterms:created>
  <dcterms:modified xsi:type="dcterms:W3CDTF">2026-08-20T02:57:00Z</dcterms:modified>
</cp:coreProperties>
</file>

<file path=docProps/custom.xml><?xml version="1.0" encoding="utf-8"?>
<Properties xmlns="http://schemas.openxmlformats.org/officeDocument/2006/custom-properties" xmlns:vt="http://schemas.openxmlformats.org/officeDocument/2006/docPropsVTypes"/>
</file>