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2.png" ContentType="image/png"/>
  <Override PartName="/word/media/rId44.png" ContentType="image/png"/>
  <Override PartName="/word/media/rId46.png" ContentType="image/png"/>
  <Override PartName="/word/media/rId4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w:t>
      </w:r>
      <w:r>
        <w:t xml:space="preserve"> </w:t>
      </w:r>
      <w:r>
        <w:t xml:space="preserve">Transactions,</w:t>
      </w:r>
      <w:r>
        <w:t xml:space="preserve"> </w:t>
      </w:r>
      <w:r>
        <w:t xml:space="preserve">Different</w:t>
      </w:r>
      <w:r>
        <w:t xml:space="preserve"> </w:t>
      </w:r>
      <w:r>
        <w:t xml:space="preserve">Alarms:</w:t>
      </w:r>
      <w:r>
        <w:t xml:space="preserve"> </w:t>
      </w:r>
      <w:r>
        <w:t xml:space="preserve">Foundation-Model</w:t>
      </w:r>
      <w:r>
        <w:t xml:space="preserve"> </w:t>
      </w:r>
      <w:r>
        <w:t xml:space="preserve">Choice</w:t>
      </w:r>
      <w:r>
        <w:t xml:space="preserve"> </w:t>
      </w:r>
      <w:r>
        <w:t xml:space="preserve">and</w:t>
      </w:r>
      <w:r>
        <w:t xml:space="preserve"> </w:t>
      </w:r>
      <w:r>
        <w:t xml:space="preserve">AML</w:t>
      </w:r>
      <w:r>
        <w:t xml:space="preserve"> </w:t>
      </w:r>
      <w:r>
        <w:t xml:space="preserve">False</w:t>
      </w:r>
      <w:r>
        <w:t xml:space="preserve"> </w:t>
      </w:r>
      <w:r>
        <w:t xml:space="preserve">Positives</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 (Table </w:t>
      </w:r>
      <w:hyperlink w:anchor="tab:vote">
        <w:r>
          <w:rPr>
            <w:rStyle w:val="Hyperlink"/>
          </w:rPr>
          <w:t xml:space="preserve">1</w:t>
        </w:r>
      </w:hyperlink>
      <w:r>
        <w:t xml:space="preserve">).</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1.15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4</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1</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bookmarkStart w:id="39"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39"/>
    <w:p>
      <w:pPr>
        <w:pStyle w:val="CaptionedFigure"/>
      </w:pPr>
      <w:bookmarkStart w:id="41"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40"/>
                    <a:stretch>
                      <a:fillRect/>
                    </a:stretch>
                  </pic:blipFill>
                  <pic:spPr bwMode="auto">
                    <a:xfrm>
                      <a:off x="0" y="0"/>
                      <a:ext cx="4205016" cy="3018437"/>
                    </a:xfrm>
                    <a:prstGeom prst="rect">
                      <a:avLst/>
                    </a:prstGeom>
                    <a:noFill/>
                    <a:ln w="9525">
                      <a:noFill/>
                      <a:headEnd/>
                      <a:tailEnd/>
                    </a:ln>
                  </pic:spPr>
                </pic:pic>
              </a:graphicData>
            </a:graphic>
          </wp:inline>
        </w:drawing>
      </w:r>
      <w:bookmarkEnd w:id="41"/>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3"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2"/>
                    <a:stretch>
                      <a:fillRect/>
                    </a:stretch>
                  </pic:blipFill>
                  <pic:spPr bwMode="auto">
                    <a:xfrm>
                      <a:off x="0" y="0"/>
                      <a:ext cx="4302878" cy="3581145"/>
                    </a:xfrm>
                    <a:prstGeom prst="rect">
                      <a:avLst/>
                    </a:prstGeom>
                    <a:noFill/>
                    <a:ln w="9525">
                      <a:noFill/>
                      <a:headEnd/>
                      <a:tailEnd/>
                    </a:ln>
                  </pic:spPr>
                </pic:pic>
              </a:graphicData>
            </a:graphic>
          </wp:inline>
        </w:drawing>
      </w:r>
      <w:bookmarkEnd w:id="43"/>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5"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4"/>
                    <a:stretch>
                      <a:fillRect/>
                    </a:stretch>
                  </pic:blipFill>
                  <pic:spPr bwMode="auto">
                    <a:xfrm>
                      <a:off x="0" y="0"/>
                      <a:ext cx="4330402" cy="3055135"/>
                    </a:xfrm>
                    <a:prstGeom prst="rect">
                      <a:avLst/>
                    </a:prstGeom>
                    <a:noFill/>
                    <a:ln w="9525">
                      <a:noFill/>
                      <a:headEnd/>
                      <a:tailEnd/>
                    </a:ln>
                  </pic:spPr>
                </pic:pic>
              </a:graphicData>
            </a:graphic>
          </wp:inline>
        </w:drawing>
      </w:r>
      <w:bookmarkEnd w:id="45"/>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7"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6"/>
                    <a:stretch>
                      <a:fillRect/>
                    </a:stretch>
                  </pic:blipFill>
                  <pic:spPr bwMode="auto">
                    <a:xfrm>
                      <a:off x="0" y="0"/>
                      <a:ext cx="4419090" cy="3192754"/>
                    </a:xfrm>
                    <a:prstGeom prst="rect">
                      <a:avLst/>
                    </a:prstGeom>
                    <a:noFill/>
                    <a:ln w="9525">
                      <a:noFill/>
                      <a:headEnd/>
                      <a:tailEnd/>
                    </a:ln>
                  </pic:spPr>
                </pic:pic>
              </a:graphicData>
            </a:graphic>
          </wp:inline>
        </w:drawing>
      </w:r>
      <w:bookmarkEnd w:id="47"/>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9"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8"/>
                    <a:stretch>
                      <a:fillRect/>
                    </a:stretch>
                  </pic:blipFill>
                  <pic:spPr bwMode="auto">
                    <a:xfrm>
                      <a:off x="0" y="0"/>
                      <a:ext cx="5334000" cy="3413984"/>
                    </a:xfrm>
                    <a:prstGeom prst="rect">
                      <a:avLst/>
                    </a:prstGeom>
                    <a:noFill/>
                    <a:ln w="9525">
                      <a:noFill/>
                      <a:headEnd/>
                      <a:tailEnd/>
                    </a:ln>
                  </pic:spPr>
                </pic:pic>
              </a:graphicData>
            </a:graphic>
          </wp:inline>
        </w:drawing>
      </w:r>
      <w:bookmarkEnd w:id="49"/>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r>
        <w:t xml:space="preserve">.</w:t>
      </w:r>
    </w:p>
    <w:bookmarkStart w:id="50"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2"/>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a deterministic Code Ocean capsule at</w:t>
      </w:r>
      <w:r>
        <w:t xml:space="preserve"> </w:t>
      </w:r>
      <w:hyperlink r:id="rId54">
        <w:r>
          <w:rPr>
            <w:rStyle w:val="Hyperlink"/>
          </w:rPr>
          <w:t xml:space="preserve">https://doi.org/10.24433/CO.4804007.v1</w:t>
        </w:r>
      </w:hyperlink>
      <w:r>
        <w:t xml:space="preserve"> </w:t>
      </w:r>
      <w:r>
        <w:t xml:space="preserve">(MIT licence) and, identically, in the public GitHub repository at</w:t>
      </w:r>
      <w:r>
        <w:t xml:space="preserve"> </w:t>
      </w:r>
      <w:hyperlink r:id="rId55">
        <w:r>
          <w:rPr>
            <w:rStyle w:val="Hyperlink"/>
          </w:rPr>
          <w:t xml:space="preserve">https://github.com/samirrc2/same-transactions-different-alarms</w:t>
        </w:r>
      </w:hyperlink>
      <w:r>
        <w:t xml:space="preserve">. Within the capsule,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fingerprint,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docs/</w:t>
      </w:r>
      <w:r>
        <w:t xml:space="preserve">, the deterministic analysis in</w:t>
      </w:r>
      <w:r>
        <w:t xml:space="preserve"> </w:t>
      </w:r>
      <w:r>
        <w:rPr>
          <w:rStyle w:val="VerbatimChar"/>
        </w:rPr>
        <w:t xml:space="preserve">code/</w:t>
      </w:r>
      <w:r>
        <w:t xml:space="preserve">, and pre-computed outputs in</w:t>
      </w:r>
      <w:r>
        <w:t xml:space="preserve"> </w:t>
      </w:r>
      <w:r>
        <w:rPr>
          <w:rStyle w:val="VerbatimChar"/>
        </w:rPr>
        <w:t xml:space="preserv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and Code Ocean capsule (</w:t>
      </w:r>
      <w:hyperlink r:id="rId54">
        <w:r>
          <w:rPr>
            <w:rStyle w:val="Hyperlink"/>
          </w:rPr>
          <w:t xml:space="preserve">https://doi.org/10.24433/CO.4804007.v1</w:t>
        </w:r>
      </w:hyperlink>
      <w:r>
        <w:t xml:space="preserve">). The default Reproducible Run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w:t>
      </w:r>
      <w:r>
        <w:t xml:space="preserve"> </w:t>
      </w:r>
      <w:r>
        <w:t xml:space="preserve">Not applicable (synthetic data only; no human participants, human tissue or animals).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6" w:name="references"/>
      <w:r>
        <w:t xml:space="preserve">References</w:t>
      </w:r>
      <w:bookmarkEnd w:id="56"/>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7">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8">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9">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0">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1">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2">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3">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4">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5">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6">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7">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8">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9">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0">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_rels/footnotes.xml.rels><?xml version="1.0" encoding="UTF-8"?>
<Relationships xmlns="http://schemas.openxmlformats.org/package/2006/relationships"><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Transactions, Different Alarms: Foundation-Model Choice and AML False Positives</dc:title>
  <dc:creator>; </dc:creator>
  <cp:keywords/>
  <dcterms:created xsi:type="dcterms:W3CDTF">2026-08-15T16:23:15Z</dcterms:created>
  <dcterms:modified xsi:type="dcterms:W3CDTF">2026-08-15T16:23:15Z</dcterms:modified>
</cp:coreProperties>
</file>

<file path=docProps/custom.xml><?xml version="1.0" encoding="utf-8"?>
<Properties xmlns="http://schemas.openxmlformats.org/officeDocument/2006/custom-properties" xmlns:vt="http://schemas.openxmlformats.org/officeDocument/2006/docPropsVTypes"/>
</file>