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 scenario of one million transactions per day, the observed operating points differed by about 200-fold in projected daily alert workload. These findings show that foundation-model choice is</w:t>
      </w:r>
      <w:r>
        <w:t xml:space="preserve"> </w:t>
      </w:r>
      <w:r>
        <w:rPr>
          <w:highlight w:val="yellow"/>
        </w:rPr>
        <w:t xml:space="preserve">accuracy levels. At one million transactions per day under low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 but</w:t>
      </w:r>
      <w:r>
        <w:t xml:space="preserve"> </w:t>
      </w:r>
      <w:r>
        <w:rPr>
          <w:highlight w:val="yellow"/>
        </w:rPr>
        <w:t xml:space="preserve">features. But</w:t>
      </w:r>
      <w:r>
        <w:t xml:space="preserve"> </w:t>
      </w:r>
      <w:r>
        <w:t xml:space="preserve">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 Broader</w:t>
      </w:r>
      <w:r>
        <w:t xml:space="preserve"> </w:t>
      </w:r>
      <w:r>
        <w:t xml:space="preserve">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w:t>
      </w:r>
      <w:r>
        <w:t xml:space="preserve"> </w:t>
      </w:r>
      <w:r>
        <w:rPr>
          <w:strike/>
        </w:rPr>
        <w:t xml:space="preserve">licence); the</w:t>
      </w:r>
      <w:r>
        <w:t xml:space="preserve"> </w:t>
      </w:r>
      <w:r>
        <w:rPr>
          <w:highlight w:val="yellow"/>
        </w:rPr>
        <w:t xml:space="preserve">licence). The</w:t>
      </w:r>
      <w:r>
        <w:t xml:space="preserve"> </w:t>
      </w:r>
      <w:r>
        <w:t xml:space="preserve">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w:t>
      </w:r>
      <w:r>
        <w:t xml:space="preserve"> </w:t>
      </w:r>
      <w:r>
        <w:rPr>
          <w:strike/>
        </w:rPr>
        <w:t xml:space="preserve">typologies;</w:t>
      </w:r>
      <w:r>
        <w:rPr>
          <w:strike/>
        </w:rPr>
        <w:t xml:space="preserve"> </w:t>
      </w:r>
      <w:r>
        <w:rPr>
          <w:rStyle w:val="VerbatimChar"/>
          <w:strike/>
        </w:rPr>
        <w:t xml:space="preserve">pilot.jsonl</w:t>
      </w:r>
      <w:r>
        <w:rPr>
          <w:strike/>
        </w:rPr>
        <w:t xml:space="preserve"> </w:t>
      </w:r>
      <w:r>
        <w:rPr>
          <w:strike/>
        </w:rPr>
        <w:t xml:space="preserve">is the seeded subsample); the complete 12,000-call response corpus</w:t>
      </w:r>
      <w:r>
        <w:t xml:space="preserve"> </w:t>
      </w:r>
      <w:r>
        <w:rPr>
          <w:highlight w:val="yellow"/>
        </w:rPr>
        <w:t xml:space="preserve">typologies.</w:t>
      </w:r>
      <w:r>
        <w:t xml:space="preserve"> </w:t>
      </w:r>
      <w:r>
        <w:rPr>
          <w:rStyle w:val="VerbatimChar"/>
        </w:rPr>
        <w:t xml:space="preserve">pilot.jsonl</w:t>
      </w:r>
      <w:r>
        <w:t xml:space="preserve"> </w:t>
      </w:r>
      <w:r>
        <w:rPr>
          <w:highlight w:val="yellow"/>
        </w:rPr>
        <w:t xml:space="preserve">is the seeded subsample). The complete 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 token counts and per-call cost); the</w:t>
      </w:r>
      <w:r>
        <w:t xml:space="preserve"> </w:t>
      </w:r>
      <w:r>
        <w:rPr>
          <w:highlight w:val="yellow"/>
        </w:rPr>
        <w:t xml:space="preserve">identifier (for the Google models, the alias string only), token counts and per-call cost). The</w:t>
      </w:r>
      <w:r>
        <w:t xml:space="preserve"> </w:t>
      </w:r>
      <w:r>
        <w:t xml:space="preserve">per-file SHA-256 freeze receipts (</w:t>
      </w:r>
      <w:r>
        <w:rPr>
          <w:rStyle w:val="VerbatimChar"/>
        </w:rPr>
        <w:t xml:space="preserve">data/frozen/*.freeze.json</w:t>
      </w:r>
      <w:r>
        <w:t xml:space="preserve">), which the analysis checks before running and refuses any file whose hash does not</w:t>
      </w:r>
      <w:r>
        <w:t xml:space="preserve"> </w:t>
      </w:r>
      <w:r>
        <w:rPr>
          <w:strike/>
        </w:rPr>
        <w:t xml:space="preserve">match; the</w:t>
      </w:r>
      <w:r>
        <w:t xml:space="preserve"> </w:t>
      </w:r>
      <w:r>
        <w:rPr>
          <w:highlight w:val="yellow"/>
        </w:rPr>
        <w:t xml:space="preserve">match. The</w:t>
      </w:r>
      <w:r>
        <w:t xml:space="preserve"> </w:t>
      </w:r>
      <w:r>
        <w:t xml:space="preserve">battery specification, model registry and capture grid (</w:t>
      </w:r>
      <w:r>
        <w:rPr>
          <w:rStyle w:val="VerbatimChar"/>
        </w:rPr>
        <w:t xml:space="preserve">data/configs/</w:t>
      </w:r>
      <w:r>
        <w:rPr>
          <w:highlight w:val="yellow"/>
        </w:rPr>
        <w:t xml:space="preserve">),</w:t>
      </w:r>
      <w:r>
        <w:t xml:space="preserve"> </w:t>
      </w:r>
      <w:r>
        <w:t xml:space="preserve">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w:t>
      </w:r>
      <w:r>
        <w:t xml:space="preserve"> </w:t>
      </w:r>
      <w:r>
        <w:rPr>
          <w:strike/>
        </w:rPr>
        <w:t xml:space="preserve">only; no</w:t>
      </w:r>
      <w:r>
        <w:t xml:space="preserve"> </w:t>
      </w:r>
      <w:r>
        <w:rPr>
          <w:highlight w:val="yellow"/>
        </w:rPr>
        <w:t xml:space="preserve">only. No</w:t>
      </w:r>
      <w:r>
        <w:t xml:space="preserve"> </w:t>
      </w:r>
      <w:r>
        <w:t xml:space="preserve">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w:t>
      </w:r>
      <w:r>
        <w:t xml:space="preserve"> </w:t>
      </w:r>
      <w:r>
        <w:rPr>
          <w:strike/>
        </w:rPr>
        <w:t xml:space="preserve">software; no</w:t>
      </w:r>
      <w:r>
        <w:t xml:space="preserve"> </w:t>
      </w:r>
      <w:r>
        <w:rPr>
          <w:highlight w:val="yellow"/>
        </w:rPr>
        <w:t xml:space="preserve">software. No</w:t>
      </w:r>
      <w:r>
        <w:t xml:space="preserve"> </w:t>
      </w:r>
      <w:r>
        <w:t xml:space="preserve">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2026-10-16T18:57:52Z</dcterms:created>
  <dcterms:modified xsi:type="dcterms:W3CDTF">2026-10-16T18:57:52Z</dcterms:modified>
</cp:coreProperties>
</file>

<file path=docProps/custom.xml><?xml version="1.0" encoding="utf-8"?>
<Properties xmlns="http://schemas.openxmlformats.org/officeDocument/2006/custom-properties" xmlns:vt="http://schemas.openxmlformats.org/officeDocument/2006/docPropsVTypes"/>
</file>