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rPr>
          <w:highlight w:val="yellow"/>
        </w:rPr>
        <w:t xml:space="preserve">Because the choice of rule is consequential, the results are reported under four further tie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Those rates are therefore attainable without reference to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All Cochran’s</w:t>
      </w:r>
      <w:r>
        <w:t xml:space="preserve"> </w:t>
      </w:r>
      <m:oMath>
        <m:r>
          <m:t>Q</m:t>
        </m:r>
      </m:oMath>
      <w:r>
        <w:t xml:space="preserve"> </w:t>
      </w:r>
      <w:r>
        <w:rPr>
          <w:highlight w:val="yellow"/>
        </w:rP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dropped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Results are reported under four further tie policies and each deployable single-call configuration</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tie rule</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Results under alternative tie policies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2026-10-21T00:16:35Z</dcterms:created>
  <dcterms:modified xsi:type="dcterms:W3CDTF">2026-10-21T00:16:35Z</dcterms:modified>
</cp:coreProperties>
</file>

<file path=docProps/custom.xml><?xml version="1.0" encoding="utf-8"?>
<Properties xmlns="http://schemas.openxmlformats.org/officeDocument/2006/custom-properties" xmlns:vt="http://schemas.openxmlformats.org/officeDocument/2006/docPropsVTypes"/>
</file>