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7.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w:t>
      </w:r>
      <w:r>
        <w:t xml:space="preserve"> </w:t>
      </w:r>
      <w:r>
        <w:rPr>
          <w:strike/>
        </w:rPr>
        <w:t xml:space="preserve">implications of choosing one foundation model over another are poorly quantified. This study investigates</w:t>
      </w:r>
      <w:r>
        <w:t xml:space="preserve"> </w:t>
      </w:r>
      <w:r>
        <w:rPr>
          <w:highlight w:val="yellow"/>
        </w:rPr>
        <w:t xml:space="preserve">consequences of model choice are poorly quantified. We investigate</w:t>
      </w:r>
      <w:r>
        <w:t xml:space="preserve"> </w:t>
      </w:r>
      <w:r>
        <w:t xml:space="preserve">how foundation-model selection affects the screening operating point</w:t>
      </w:r>
      <w:r>
        <w:t xml:space="preserve"> </w:t>
      </w:r>
      <w:r>
        <w:rPr>
          <w:strike/>
        </w:rPr>
        <w:t xml:space="preserve">for a fixed task, transaction cases and evaluation procedure. We tested five off-the-shelf foundation models from two providers as zero-shot AML screeners, using a preregistered, fully</w:t>
      </w:r>
      <w:r>
        <w:t xml:space="preserve"> </w:t>
      </w:r>
      <w:r>
        <w:rPr>
          <w:highlight w:val="yellow"/>
        </w:rPr>
        <w:t xml:space="preserve">when the task, cases and evaluation procedure are held fixed. Five off-the-shelf models from two providers were tested as zero-shot screeners on a preregistered,</w:t>
      </w:r>
      <w:r>
        <w:t xml:space="preserve"> </w:t>
      </w:r>
      <w:r>
        <w:t xml:space="preserve">reproducible battery of 600 synthetic transaction cases anchored on established laundering typologies,</w:t>
      </w:r>
      <w:r>
        <w:t xml:space="preserve"> </w:t>
      </w:r>
      <w:r>
        <w:rPr>
          <w:strike/>
        </w:rPr>
        <w:t xml:space="preserve">with equal numbers of suspicious cases and legitimate hard negatives designed to resemble common alert patterns.</w:t>
      </w:r>
      <w:r>
        <w:t xml:space="preserve"> </w:t>
      </w:r>
      <w:r>
        <w:rPr>
          <w:highlight w:val="yellow"/>
        </w:rPr>
        <w:t xml:space="preserve">half suspicious and half hard negatives.</w:t>
      </w:r>
      <w:r>
        <w:t xml:space="preserve"> </w:t>
      </w:r>
      <w:r>
        <w:t xml:space="preserve">For the same 300 legitimate cases, false-positive rates ranged from</w:t>
      </w:r>
      <w:r>
        <w:t xml:space="preserve"> </w:t>
      </w:r>
      <w:r>
        <w:rPr>
          <w:strike/>
        </w:rPr>
        <w:t xml:space="preserve">0.3% to 83.0%—an 82.7 percentage-point spread—and the models disagreed on 85.7% of legitimate cases. The differences were systematic: false-positive</w:t>
      </w:r>
      <w:r>
        <w:t xml:space="preserve"> </w:t>
      </w:r>
      <w:r>
        <w:rPr>
          <w:highlight w:val="yellow"/>
        </w:rPr>
        <w:t xml:space="preserve">2.3</w:t>
      </w:r>
      <w:r>
        <w:t xml:space="preserve">%</w:t>
      </w:r>
      <w:r>
        <w:t xml:space="preserve"> </w:t>
      </w:r>
      <w:r>
        <w:rPr>
          <w:highlight w:val="yellow"/>
        </w:rPr>
        <w:t xml:space="preserve">to 85.7</w:t>
      </w:r>
      <w:r>
        <w:t xml:space="preserve">%</w:t>
      </w:r>
      <w:r>
        <w:rPr>
          <w:highlight w:val="yellow"/>
        </w:rPr>
        <w:t xml:space="preserve">—an 83.3 percentage-point spread (95</w:t>
      </w:r>
      <w:r>
        <w:t xml:space="preserve">%</w:t>
      </w:r>
      <w:r>
        <w:t xml:space="preserve"> </w:t>
      </w:r>
      <w:r>
        <w:rPr>
          <w:highlight w:val="yellow"/>
        </w:rPr>
        <w:t xml:space="preserve">confidence interval 71.8 to 93.7 points, cluster bootstrap over eight case-template strata)—and the models disagreed on 88.7</w:t>
      </w:r>
      <w:r>
        <w:t xml:space="preserve">%</w:t>
      </w:r>
      <w:r>
        <w:t xml:space="preserve"> </w:t>
      </w:r>
      <w:r>
        <w:rPr>
          <w:highlight w:val="yellow"/>
        </w:rPr>
        <w:t xml:space="preserve">of legitimate cases. Differences were systematic:</w:t>
      </w:r>
      <w:r>
        <w:t xml:space="preserve"> </w:t>
      </w:r>
      <w:r>
        <w:t xml:space="preserve">rates decreased monotonically with model tier within each</w:t>
      </w:r>
      <w:r>
        <w:t xml:space="preserve"> </w:t>
      </w:r>
      <w:r>
        <w:rPr>
          <w:strike/>
        </w:rPr>
        <w:t xml:space="preserve">provider family, so that smaller, lower-tier models substantially over-flagged legitimate activity relative to their more capable counterparts. The models therefore occupied quite different points along</w:t>
      </w:r>
      <w:r>
        <w:t xml:space="preserve"> </w:t>
      </w:r>
      <w:r>
        <w:rPr>
          <w:highlight w:val="yellow"/>
        </w:rPr>
        <w:t xml:space="preserve">of the two provider families studied, so lower-tier models over-flagged legitimate activity. The models occupied different points on</w:t>
      </w:r>
      <w:r>
        <w:t xml:space="preserve"> </w:t>
      </w:r>
      <w:r>
        <w:t xml:space="preserve">the sensitivity–specificity trade-off, not merely different</w:t>
      </w:r>
      <w:r>
        <w:t xml:space="preserve"> </w:t>
      </w:r>
      <w:r>
        <w:rPr>
          <w:strike/>
        </w:rPr>
        <w:t xml:space="preserve">levels of accuracy. In an illustrative low-prevalence</w:t>
      </w:r>
      <w:r>
        <w:t xml:space="preserve"> </w:t>
      </w:r>
      <w:r>
        <w:rPr>
          <w:highlight w:val="yellow"/>
        </w:rPr>
        <w:t xml:space="preserve">accuracy levels. In an illustrative</w:t>
      </w:r>
      <w:r>
        <w:t xml:space="preserve"> </w:t>
      </w:r>
      <w:r>
        <w:t xml:space="preserve">scenario of one million transactions per</w:t>
      </w:r>
      <w:r>
        <w:t xml:space="preserve"> </w:t>
      </w:r>
      <w:r>
        <w:rPr>
          <w:strike/>
        </w:rPr>
        <w:t xml:space="preserve">day, the observed operating points differed by about 200-fold in projected daily alert workload. These findings show that foundation-model choice is</w:t>
      </w:r>
      <w:r>
        <w:t xml:space="preserve"> </w:t>
      </w:r>
      <w:r>
        <w:rPr>
          <w:highlight w:val="yellow"/>
        </w:rPr>
        <w:t xml:space="preserve">day at 0.1</w:t>
      </w:r>
      <w:r>
        <w:t xml:space="preserve">%</w:t>
      </w:r>
      <w:r>
        <w:t xml:space="preserve"> </w:t>
      </w:r>
      <w:r>
        <w:rPr>
          <w:highlight w:val="yellow"/>
        </w:rPr>
        <w:t xml:space="preserve">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w:t>
      </w:r>
      <w:r>
        <w:t xml:space="preserve"> </w:t>
      </w:r>
      <w:r>
        <w:t xml:space="preserve">not merely an AML procurement</w:t>
      </w:r>
      <w:r>
        <w:rPr>
          <w:strike/>
        </w:rPr>
        <w:t xml:space="preserve">or implementation</w:t>
      </w:r>
      <w:r>
        <w:t xml:space="preserve"> </w:t>
      </w:r>
      <w:r>
        <w:t xml:space="preserve">decision but a core operational risk parameter. Because commercially accessed models may be updated,</w:t>
      </w:r>
      <w:r>
        <w:t xml:space="preserve"> </w:t>
      </w:r>
      <w:r>
        <w:t xml:space="preserve"> </w:t>
      </w:r>
      <w:r>
        <w:t xml:space="preserve">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w:t>
      </w:r>
      <w:r>
        <w:t xml:space="preserve"> </w:t>
      </w:r>
      <w:r>
        <w:rPr>
          <w:strike/>
        </w:rPr>
        <w:t xml:space="preserve">any direct measurement of this cross-model divergence at scale under a controlled AML screening design.</w:t>
      </w:r>
      <w:r>
        <w:t xml:space="preserve"> </w:t>
      </w:r>
      <w:r>
        <w:rPr>
          <w:highlight w:val="yellow"/>
        </w:rPr>
        <w:t xml:space="preserve">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w:t>
      </w:r>
      <w:r>
        <w:t xml:space="preserve"> </w:t>
      </w:r>
      <w:r>
        <w:rPr>
          <w:strike/>
        </w:rPr>
        <w:t xml:space="preserve">sensitivity;</w:t>
      </w:r>
      <w:r>
        <w:t xml:space="preserve"> </w:t>
      </w:r>
      <w:r>
        <w:rPr>
          <w:highlight w:val="yellow"/>
        </w:rPr>
        <w:t xml:space="preserve">sensitivity. We</w:t>
      </w:r>
      <w:r>
        <w:t xml:space="preserve"> </w:t>
      </w:r>
      <w:r>
        <w:t xml:space="preserve">compare the models with deterministic rules and supervised machine-learning</w:t>
      </w:r>
      <w:r>
        <w:t xml:space="preserve"> </w:t>
      </w:r>
      <w:r>
        <w:rPr>
          <w:strike/>
        </w:rPr>
        <w:t xml:space="preserve">baselines;</w:t>
      </w:r>
      <w:r>
        <w:t xml:space="preserve"> </w:t>
      </w:r>
      <w:r>
        <w:rPr>
          <w:highlight w:val="yellow"/>
        </w:rPr>
        <w:t xml:space="preserve">baselines,</w:t>
      </w:r>
      <w:r>
        <w:t xml:space="preserve"> </w:t>
      </w:r>
      <w:r>
        <w:t xml:space="preserve">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[26, 39]</w:t>
      </w:r>
      <w:r>
        <w:rPr>
          <w:highlight w:val="yellow"/>
        </w:rPr>
        <w:t xml:space="preserve">.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w:t>
      </w:r>
      <w:r>
        <w:t xml:space="preserve"> </w:t>
      </w:r>
      <w:r>
        <w:rPr>
          <w:strike/>
        </w:rPr>
        <w:t xml:space="preserve">summaries; suspicious</w:t>
      </w:r>
      <w:r>
        <w:t xml:space="preserve"> </w:t>
      </w:r>
      <w:r>
        <w:rPr>
          <w:highlight w:val="yellow"/>
        </w:rPr>
        <w:t xml:space="preserve">summaries. Suspicious</w:t>
      </w:r>
      <w:r>
        <w:t xml:space="preserve"> </w:t>
      </w:r>
      <w:r>
        <w:t xml:space="preserve">cases used irregular sub-threshold amounts rather than mechanically uniform</w:t>
      </w:r>
      <w:r>
        <w:t xml:space="preserve"> </w:t>
      </w:r>
      <w:r>
        <w:rPr>
          <w:strike/>
        </w:rPr>
        <w:t xml:space="preserve">ones; laundering</w:t>
      </w:r>
      <w:r>
        <w:t xml:space="preserve"> </w:t>
      </w:r>
      <w:r>
        <w:rPr>
          <w:highlight w:val="yellow"/>
        </w:rPr>
        <w:t xml:space="preserve">ones. Laundering</w:t>
      </w:r>
      <w:r>
        <w:t xml:space="preserve"> </w:t>
      </w:r>
      <w:r>
        <w:t xml:space="preserve">signals were interleaved with legitimate background</w:t>
      </w:r>
      <w:r>
        <w:t xml:space="preserve"> </w:t>
      </w:r>
      <w:r>
        <w:rPr>
          <w:strike/>
        </w:rPr>
        <w:t xml:space="preserve">transactions;</w:t>
      </w:r>
      <w:r>
        <w:t xml:space="preserve"> </w:t>
      </w:r>
      <w:r>
        <w:rPr>
          <w:highlight w:val="yellow"/>
        </w:rPr>
        <w:t xml:space="preserve">transactions,</w:t>
      </w:r>
      <w:r>
        <w:t xml:space="preserve"> </w:t>
      </w:r>
      <w:r>
        <w:t xml:space="preserve">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2"/>
    <w:bookmarkStart w:id="13" w:name="sec:design"/>
    <w:p>
      <w:pPr>
        <w:pStyle w:val="Heading2"/>
      </w:pPr>
      <w:r>
        <w:rPr>
          <w:rStyle w:val="SectionNumber"/>
        </w:rPr>
        <w:t xml:space="preserve">2.2</w:t>
      </w:r>
      <w:r>
        <w:tab/>
      </w:r>
      <w:r>
        <w:rPr>
          <w:highlight w:val="yellow"/>
        </w:rP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rPr>
          <w:highlight w:val="yellow"/>
        </w:rPr>
        <w:t xml:space="preserve">)</w:t>
      </w:r>
    </w:p>
    <w:p>
      <w:pPr>
        <w:numPr>
          <w:ilvl w:val="0"/>
          <w:numId w:val="1002"/>
        </w:numPr>
      </w:pPr>
      <w:r>
        <w:rPr>
          <w:highlight w:val="yellow"/>
        </w:rPr>
        <w:t xml:space="preserve">OpenAI GPT-4.1-mini (</w:t>
      </w:r>
      <w:r>
        <w:rPr>
          <w:rStyle w:val="VerbatimChar"/>
        </w:rPr>
        <w:t xml:space="preserve">gpt-4.1-mini-2025-04-14</w:t>
      </w:r>
      <w:r>
        <w:rPr>
          <w:highlight w:val="yellow"/>
        </w:rPr>
        <w:t xml:space="preserve">)</w:t>
      </w:r>
    </w:p>
    <w:p>
      <w:pPr>
        <w:numPr>
          <w:ilvl w:val="0"/>
          <w:numId w:val="1002"/>
        </w:numPr>
      </w:pPr>
      <w:r>
        <w:rPr>
          <w:highlight w:val="yellow"/>
        </w:rPr>
        <w:t xml:space="preserve">OpenAI GPT-4o (</w:t>
      </w:r>
      <w:r>
        <w:rPr>
          <w:rStyle w:val="VerbatimChar"/>
        </w:rPr>
        <w:t xml:space="preserve">gpt-4o-2024-11-20</w:t>
      </w:r>
      <w:r>
        <w:rPr>
          <w:highlight w:val="yellow"/>
        </w:rPr>
        <w:t xml:space="preserve">)</w:t>
      </w:r>
    </w:p>
    <w:p>
      <w:pPr>
        <w:numPr>
          <w:ilvl w:val="0"/>
          <w:numId w:val="1002"/>
        </w:numPr>
      </w:pPr>
      <w:r>
        <w:rPr>
          <w:highlight w:val="yellow"/>
        </w:rP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rPr>
          <w:highlight w:val="yellow"/>
        </w:rPr>
        <w:t xml:space="preserve">.</w:t>
      </w:r>
      <w:r>
        <w:t xml:space="preserve"> </w:t>
      </w:r>
      <w:r>
        <w:t xml:space="preserve">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rPr>
          <w:highlight w:val="yellow"/>
        </w:rPr>
        <w:t xml:space="preserve">, lowering that model’s false-positive rate by 0.3 percentage points. Duplicate calls are retained in the archive for auditability. Restricting the vote to the four designed prompt–seed cells gives GPT-4o-mini a false-positive rate of 86.0</w:t>
      </w:r>
      <w:r>
        <w:t xml:space="preserve">%</w:t>
      </w:r>
      <w:r>
        <w:t xml:space="preserve"> </w:t>
      </w:r>
      <w:r>
        <w:rPr>
          <w:highlight w:val="yellow"/>
        </w:rPr>
        <w:t xml:space="preserve">and a cross-model spread of 83.7 percentage points. We report aggregation over all valid calls as primary because D4 specifies the “modal replicate decision across seeds</w:t>
      </w:r>
      <w:r>
        <w:t xml:space="preserve"> </w:t>
      </w:r>
      <m:oMath>
        <m:r>
          <m:rPr>
            <m:sty m:val="p"/>
          </m:rPr>
          <m:t>×</m:t>
        </m:r>
      </m:oMath>
      <w:r>
        <w:t xml:space="preserve"> </w:t>
      </w:r>
      <w:r>
        <w:rPr>
          <w:highlight w:val="yellow"/>
        </w:rPr>
        <w:t xml:space="preserve">prompt variants” with</w:t>
      </w:r>
      <w:r>
        <w:rPr>
          <w:highlight w:val="yellow"/>
        </w:rPr>
        <w:t xml:space="preserve"> </w:t>
      </w:r>
      <w:r>
        <w:rPr>
          <w:highlight w:val="yellow"/>
        </w:rPr>
        <w:t xml:space="preserve">“ERROR replicates excluded from the vote”</w:t>
      </w:r>
      <w:r>
        <w:rPr>
          <w:highlight w:val="yellow"/>
        </w:rP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w:t>
      </w:r>
      <w:r>
        <w:t xml:space="preserve"> </w:t>
      </w:r>
      <w:r>
        <w:rPr>
          <w:strike/>
        </w:rPr>
        <w:t xml:space="preserve">class; the</w:t>
      </w:r>
      <w:r>
        <w:t xml:space="preserve"> </w:t>
      </w:r>
      <w:r>
        <w:rPr>
          <w:highlight w:val="yellow"/>
        </w:rPr>
        <w:t xml:space="preserve">class. The</w:t>
      </w:r>
      <w:r>
        <w:t xml:space="preserve"> </w:t>
      </w:r>
      <w:r>
        <w:t xml:space="preserve">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rPr>
          <w:highlight w:val="yellow"/>
        </w:rPr>
        <w:t xml:space="preserve">for thinking-mode incompatibility and cost, and D19 dropped</w:t>
      </w:r>
      <w:r>
        <w:t xml:space="preserve"> </w:t>
      </w:r>
      <w:r>
        <w:rPr>
          <w:rStyle w:val="VerbatimChar"/>
        </w:rPr>
        <w:t xml:space="preserve">xai-grok</w:t>
      </w:r>
      <w:r>
        <w:t xml:space="preserve"> </w:t>
      </w:r>
      <w:r>
        <w:rPr>
          <w:highlight w:val="yellow"/>
        </w:rP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rPr>
          <w:highlight w:val="yellow"/>
        </w:rPr>
        <w:t xml:space="preserve">Because the choice of rule is consequential, the results are reported under four further tie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no pair of models reverses order.</w:t>
      </w:r>
    </w:p>
    <w:p>
      <w:pPr>
        <w:pStyle w:val="BodyText"/>
      </w:pPr>
      <w:r>
        <w:rPr>
          <w:highlight w:val="yellow"/>
        </w:rP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w:t>
      </w:r>
      <w:r>
        <w:t xml:space="preserve">%</w:t>
      </w:r>
      <w:r>
        <w:t xml:space="preserve"> </w:t>
      </w:r>
      <w:r>
        <w:rPr>
          <w:highlight w:val="yellow"/>
        </w:rPr>
        <w:t xml:space="preserve">to 18.3, 8.3, 7.0, 2.0 and 0.0</w:t>
      </w:r>
      <w:r>
        <w:t xml:space="preserve">%</w:t>
      </w:r>
      <w:r>
        <w:rPr>
          <w:highlight w:val="yellow"/>
        </w:rPr>
        <w:t xml:space="preserve">. Those rates are therefore attainable without reference to the label, at a cost on the miss axis.</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rPr>
          <w:highlight w:val="yellow"/>
        </w:rPr>
        <w:t xml:space="preserve">-values are retained for comparability with the preregistered analysis plan, and the cluster-robust results are the ones relied upon. All Cochran’s</w:t>
      </w:r>
      <w:r>
        <w:t xml:space="preserve"> </w:t>
      </w:r>
      <m:oMath>
        <m:r>
          <m:t>Q</m:t>
        </m:r>
      </m:oMath>
      <w:r>
        <w:t xml:space="preserve"> </w:t>
      </w:r>
      <w:r>
        <w:rPr>
          <w:highlight w:val="yellow"/>
        </w:rP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w:t>
      </w:r>
      <w:r>
        <w:t xml:space="preserve"> </w:t>
      </w:r>
      <w:r>
        <w:rPr>
          <w:strike/>
        </w:rPr>
        <w:t xml:space="preserve">typology strata (cross-model spread, disagreement metrics and typology-level rates),</w:t>
      </w:r>
      <w:r>
        <w:t xml:space="preserve"> </w:t>
      </w:r>
      <w:r>
        <w:rPr>
          <w:highlight w:val="yellow"/>
        </w:rPr>
        <w:t xml:space="preserve">case-template strata (cross-model spread and disagreement metrics),</w:t>
      </w:r>
      <w:r>
        <w:t xml:space="preserve"> </w:t>
      </w:r>
      <w:r>
        <w:t xml:space="preserve">additional 95% percentile bootstrap confidence intervals were constructed via cluster resampling over the eight</w:t>
      </w:r>
      <w:r>
        <w:t xml:space="preserve"> </w:t>
      </w:r>
      <w:r>
        <w:rPr>
          <w:strike/>
        </w:rPr>
        <w:t xml:space="preserve">typology</w:t>
      </w:r>
      <w:r>
        <w:t xml:space="preserve"> </w:t>
      </w:r>
      <w:r>
        <w:rPr>
          <w:highlight w:val="yellow"/>
        </w:rPr>
        <w:t xml:space="preserve">case-template</w:t>
      </w:r>
      <w:r>
        <w:t xml:space="preserve"> </w:t>
      </w:r>
      <w:r>
        <w:t xml:space="preserve">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Measured cost per call is reported as an expenditure measure and may also reflect differences in token usage. It is not interpreted as a direct measure of model capability or size.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w:t>
      </w:r>
      <w:r>
        <w:t xml:space="preserve"> </w:t>
      </w:r>
      <w:r>
        <w:rPr>
          <w:strike/>
        </w:rPr>
        <w:t xml:space="preserve">features; logistic-regression</w:t>
      </w:r>
      <w:r>
        <w:t xml:space="preserve"> </w:t>
      </w:r>
      <w:r>
        <w:rPr>
          <w:highlight w:val="yellow"/>
        </w:rPr>
        <w:t xml:space="preserve">features. Logistic-regression</w:t>
      </w:r>
      <w:r>
        <w:t xml:space="preserve"> </w:t>
      </w:r>
      <w:r>
        <w:t xml:space="preserve">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w:t>
      </w:r>
      <w:r>
        <w:t xml:space="preserve"> </w:t>
      </w:r>
      <w:r>
        <w:rPr>
          <w:strike/>
        </w:rPr>
        <w:t xml:space="preserve">3.10; the</w:t>
      </w:r>
      <w:r>
        <w:t xml:space="preserve"> </w:t>
      </w:r>
      <w:r>
        <w:rPr>
          <w:highlight w:val="yellow"/>
        </w:rPr>
        <w:t xml:space="preserve">3.10. The</w:t>
      </w:r>
      <w:r>
        <w:t xml:space="preserve"> </w:t>
      </w:r>
      <w:r>
        <w:t xml:space="preserve">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highlight w:val="yellow"/>
        </w:rPr>
        <w:t xml:space="preserve">71.8 to 93.7, cluster bootstrap over the eight case-template strata)</w:t>
      </w:r>
      <w:r>
        <w:t xml:space="preserve"> </w:t>
      </w:r>
      <w:r>
        <w:t xml:space="preserve">(Fig. </w:t>
      </w:r>
      <w:hyperlink w:anchor="fig:fp">
        <w:r>
          <w:rPr>
            <w:rStyle w:val="Hyperlink"/>
          </w:rPr>
          <w:t xml:space="preserve">1</w:t>
        </w:r>
      </w:hyperlink>
      <w:r>
        <w:rPr>
          <w:highlight w:val="yellow"/>
        </w:rPr>
        <w:t xml:space="preserve">,</w:t>
      </w:r>
      <w:r>
        <w:t xml:space="preserve"> </w:t>
      </w:r>
      <w:r>
        <w:t xml:space="preserve">Table </w:t>
      </w:r>
      <w:hyperlink w:anchor="tab:ops">
        <w:r>
          <w:rPr>
            <w:rStyle w:val="Hyperlink"/>
          </w:rPr>
          <w:t xml:space="preserve">2</w:t>
        </w:r>
      </w:hyperlink>
      <w:r>
        <w:rPr>
          <w:highlight w:val="yellow"/>
        </w:rPr>
        <w:t xml:space="preserve">). Under the preregistered aggregation rule, the five models differed in false-positive rate (Cochran’s</w:t>
      </w:r>
      <w:r>
        <w:t xml:space="preserve"> </w:t>
      </w:r>
      <m:oMath>
        <m:r>
          <m:t>Q</m:t>
        </m:r>
        <m:r>
          <m:rPr>
            <m:sty m:val="p"/>
          </m:rPr>
          <m:t>=</m:t>
        </m:r>
        <m:r>
          <m:t>585.0</m:t>
        </m:r>
      </m:oMath>
      <w:r>
        <w:rPr>
          <w:highlight w:val="yellow"/>
        </w:rPr>
        <w:t xml:space="preserve">, 4 df, case-level</w:t>
      </w:r>
      <w:r>
        <w:t xml:space="preserve"> </w:t>
      </w:r>
      <m:oMath>
        <m:r>
          <m:t>P</m:t>
        </m:r>
        <m:r>
          <m:rPr>
            <m:sty m:val="p"/>
          </m:rPr>
          <m:t>≈</m:t>
        </m:r>
        <m:r>
          <m:t>2.7</m:t>
        </m:r>
        <m:r>
          <m:rPr>
            <m:sty m:val="p"/>
          </m:rPr>
          <m:t>×</m:t>
        </m:r>
        <m:sSup>
          <m:e>
            <m:r>
              <m:t>10</m:t>
            </m:r>
          </m:e>
          <m:sup>
            <m:r>
              <m:rPr>
                <m:sty m:val="p"/>
              </m:rPr>
              <m:t>−</m:t>
            </m:r>
            <m:r>
              <m:t>125</m:t>
            </m:r>
          </m:sup>
        </m:sSup>
      </m:oMath>
      <w:r>
        <w:rPr>
          <w:highlight w:val="yellow"/>
        </w:rP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rPr>
          <w:highlight w:val="yellow"/>
        </w:rPr>
        <w:t xml:space="preserve">, using the plus-one correction). We rely on the cluster-level inference for the principal significance claim.</w:t>
      </w:r>
      <w:r>
        <w:t xml:space="preserve"> </w:t>
      </w:r>
      <w:r>
        <w:t xml:space="preserve">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rPr>
          <w:highlight w:val="yellow"/>
        </w:rPr>
        <w:t xml:space="preserve">,</w:t>
      </w:r>
      <w:r>
        <w:t xml:space="preserve"> </w:t>
      </w:r>
      <w:r>
        <w:t xml:space="preserve">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 to 51.2), GPT-4.1-mini to GPT-4o-mini (3 and 149, 48.7 points, CI 25.8 to 72.5), and Gemini Flash to Gemini Flash-Lite (0 and 125, 41.7 points, CI 19.7 to 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highlight w:val="yellow"/>
        </w:rPr>
        <w:t xml:space="preserve">857,000 alerts for GPT-4o-mini</w:t>
      </w:r>
      <w:r>
        <w:t xml:space="preserve"> </w:t>
      </w:r>
      <w:r>
        <w:t xml:space="preserve">(Fig. </w:t>
      </w:r>
      <w:hyperlink w:anchor="fig:vol">
        <w:r>
          <w:rPr>
            <w:rStyle w:val="Hyperlink"/>
          </w:rPr>
          <w:t xml:space="preserve">3</w:t>
        </w:r>
      </w:hyperlink>
      <w:r>
        <w:rPr>
          <w:highlight w:val="yellow"/>
        </w:rPr>
        <w:t xml:space="preserve">,</w:t>
      </w:r>
      <w:r>
        <w:t xml:space="preserve"> </w:t>
      </w:r>
      <w:r>
        <w:t xml:space="preserve">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w:t>
      </w:r>
      <w:r>
        <w:t xml:space="preserve"> </w:t>
      </w:r>
      <w:r>
        <w:rPr>
          <w:strike/>
        </w:rPr>
        <w:t xml:space="preserve">point; at</w:t>
      </w:r>
      <w:r>
        <w:t xml:space="preserve"> </w:t>
      </w:r>
      <w:r>
        <w:rPr>
          <w:highlight w:val="yellow"/>
        </w:rPr>
        <w:t xml:space="preserve">point. At</w:t>
      </w:r>
      <w:r>
        <w:t xml:space="preserve"> </w:t>
      </w:r>
      <w:r>
        <w:t xml:space="preserve">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4</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w:t>
      </w:r>
      <w:r>
        <w:t xml:space="preserve"> </w:t>
      </w:r>
      <w:r>
        <w:rPr>
          <w:strike/>
        </w:rPr>
        <w:t xml:space="preserve">much lower false-positive rates; the</w:t>
      </w:r>
      <w:r>
        <w:t xml:space="preserve"> </w:t>
      </w:r>
      <w:r>
        <w:rPr>
          <w:highlight w:val="yellow"/>
        </w:rPr>
        <w:t xml:space="preserve">lower false-positive rates (7.7</w:t>
      </w:r>
      <w:r>
        <w:t xml:space="preserve">%</w:t>
      </w:r>
      <w:r>
        <w:t xml:space="preserve"> </w:t>
      </w:r>
      <w:r>
        <w:rPr>
          <w:highlight w:val="yellow"/>
        </w:rPr>
        <w:t xml:space="preserve">and 2.3</w:t>
      </w:r>
      <w:r>
        <w:t xml:space="preserve">%</w:t>
      </w:r>
      <w:r>
        <w:rPr>
          <w:highlight w:val="yellow"/>
        </w:rPr>
        <w:t xml:space="preserve">). The</w:t>
      </w:r>
      <w:r>
        <w:t xml:space="preserve"> </w:t>
      </w:r>
      <w:r>
        <w:t xml:space="preserve">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 of legitimate activity; such</w:t>
      </w:r>
      <w:r>
        <w:t xml:space="preserve"> </w:t>
      </w:r>
      <w:r>
        <w:rPr>
          <w:highlight w:val="yellow"/>
        </w:rPr>
        <w:t xml:space="preserve">86</w:t>
      </w:r>
      <w:r>
        <w:t xml:space="preserve">%</w:t>
      </w:r>
      <w:r>
        <w:t xml:space="preserve"> </w:t>
      </w:r>
      <w:r>
        <w:rPr>
          <w:highlight w:val="yellow"/>
        </w:rPr>
        <w:t xml:space="preserve">of legitimate activity. Such</w:t>
      </w:r>
      <w:r>
        <w:t xml:space="preserve"> </w:t>
      </w:r>
      <w:r>
        <w:t xml:space="preserve">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w:t>
      </w:r>
      <w:r>
        <w:t xml:space="preserve"> </w:t>
      </w:r>
      <w:r>
        <w:rPr>
          <w:strike/>
        </w:rPr>
        <w:t xml:space="preserve">features;</w:t>
      </w:r>
      <w:r>
        <w:t xml:space="preserve"> </w:t>
      </w:r>
      <w:r>
        <w:rPr>
          <w:highlight w:val="yellow"/>
        </w:rPr>
        <w:t xml:space="preserve">features,</w:t>
      </w:r>
      <w:r>
        <w:t xml:space="preserve"> </w:t>
      </w:r>
      <w:r>
        <w:t xml:space="preserve">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w:t>
      </w:r>
      <w:r>
        <w:t xml:space="preserve"> </w:t>
      </w:r>
      <w:r>
        <w:rPr>
          <w:strike/>
        </w:rPr>
        <w:t xml:space="preserve">GPT-4o; for</w:t>
      </w:r>
      <w:r>
        <w:t xml:space="preserve"> </w:t>
      </w:r>
      <w:r>
        <w:rPr>
          <w:highlight w:val="yellow"/>
        </w:rPr>
        <w:t xml:space="preserve">GPT-4o. For</w:t>
      </w:r>
      <w:r>
        <w:t xml:space="preserve"> </w:t>
      </w:r>
      <w:r>
        <w:t xml:space="preserve">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w:t>
      </w:r>
      <w:r>
        <w:t xml:space="preserve"> </w:t>
      </w:r>
      <w:r>
        <w:rPr>
          <w:strike/>
        </w:rPr>
        <w:t xml:space="preserve">details; they</w:t>
      </w:r>
      <w:r>
        <w:t xml:space="preserve"> </w:t>
      </w:r>
      <w:r>
        <w:rPr>
          <w:highlight w:val="yellow"/>
        </w:rPr>
        <w:t xml:space="preserve">details. They</w:t>
      </w:r>
      <w:r>
        <w:t xml:space="preserve"> </w:t>
      </w:r>
      <w:r>
        <w:t xml:space="preserve">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w:t>
      </w:r>
      <w:r>
        <w:t xml:space="preserve"> </w:t>
      </w:r>
      <w:r>
        <w:rPr>
          <w:strike/>
        </w:rPr>
        <w:t xml:space="preserve">scope; broader</w:t>
      </w:r>
      <w:r>
        <w:t xml:space="preserve"> </w:t>
      </w:r>
      <w:r>
        <w:rPr>
          <w:highlight w:val="yellow"/>
        </w:rPr>
        <w:t xml:space="preserve">scope</w:t>
      </w:r>
      <w:r>
        <w:t xml:space="preserve"> </w:t>
      </w:r>
      <w:r>
        <w:t xml:space="preserve">[6]</w:t>
      </w:r>
      <w:r>
        <w:rPr>
          <w:highlight w:val="yellow"/>
        </w:rPr>
        <w:t xml:space="preserve">. Broader</w:t>
      </w:r>
      <w:r>
        <w:t xml:space="preserve"> </w:t>
      </w:r>
      <w:r>
        <w:t xml:space="preserve">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r>
        <w:rPr>
          <w:strike/>
        </w:rP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r>
        <w:t xml:space="preserve"> </w:t>
      </w:r>
      <w:r>
        <w:rPr>
          <w:strike/>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rPr>
          <w:highlight w:val="yellow"/>
        </w:rP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w:t>
      </w:r>
      <w:r>
        <w:t xml:space="preserve"> </w:t>
      </w:r>
      <w:r>
        <w:rPr>
          <w:strike/>
        </w:rPr>
        <w:t xml:space="preserve">performance; the</w:t>
      </w:r>
      <w:r>
        <w:t xml:space="preserve"> </w:t>
      </w:r>
      <w:r>
        <w:rPr>
          <w:highlight w:val="yellow"/>
        </w:rPr>
        <w:t xml:space="preserve">performance. The</w:t>
      </w:r>
      <w:r>
        <w:t xml:space="preserve"> </w:t>
      </w:r>
      <w:r>
        <w:t xml:space="preserve">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dropped before the full run. Because tier is defined only within providers, a provider main effect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 Replication with a third provider is the natural extension.</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case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Results are reported under four further tie policies and each deployable single-call configuration</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w:t>
      </w:r>
      <w:r>
        <w:t xml:space="preserve"> </w:t>
      </w:r>
      <w:r>
        <w:rPr>
          <w:strike/>
        </w:rPr>
        <w:t xml:space="preserve">bank; they</w:t>
      </w:r>
      <w:r>
        <w:t xml:space="preserve"> </w:t>
      </w:r>
      <w:r>
        <w:rPr>
          <w:highlight w:val="yellow"/>
        </w:rPr>
        <w:t xml:space="preserve">bank. They</w:t>
      </w:r>
      <w:r>
        <w:t xml:space="preserve"> </w:t>
      </w:r>
      <w:r>
        <w:t xml:space="preserve">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0"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w:t>
      </w:r>
      <w:r>
        <w:t xml:space="preserve"> </w:t>
      </w:r>
      <w:r>
        <w:rPr>
          <w:strike/>
        </w:rPr>
        <w:t xml:space="preserve">insufficient; the</w:t>
      </w:r>
      <w:r>
        <w:t xml:space="preserve"> </w:t>
      </w:r>
      <w:r>
        <w:rPr>
          <w:highlight w:val="yellow"/>
        </w:rPr>
        <w:t xml:space="preserve">insufficient. The</w:t>
      </w:r>
      <w:r>
        <w:t xml:space="preserve"> </w:t>
      </w:r>
      <w:r>
        <w:t xml:space="preserve">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c>
          <w:tcPr/>
          <w:p>
            <w:pPr>
              <w:pStyle w:val="Compact"/>
              <w:jc w:val="right"/>
            </w:pPr>
            <m:oMath>
              <m:r>
                <m:t>Q</m:t>
              </m:r>
            </m:oMath>
            <w:r>
              <w:t xml:space="preserve">​</w:t>
            </w:r>
          </w:p>
        </w:tc>
      </w:tr>
      <w:tr>
        <w:tc>
          <w:tcPr/>
          <w:p>
            <w:pPr>
              <w:pStyle w:val="Compact"/>
              <w:jc w:val="left"/>
            </w:pPr>
            <w:r>
              <w:rPr>
                <w:highlight w:val="yellow"/>
              </w:rPr>
              <w:t xml:space="preserve">Ties to flag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c>
          <w:tcPr/>
          <w:p>
            <w:pPr>
              <w:pStyle w:val="Compact"/>
              <w:jc w:val="right"/>
            </w:pPr>
            <w:r>
              <w:rPr>
                <w:highlight w:val="yellow"/>
              </w:rPr>
              <w:t xml:space="preserve">585.0</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Ties as abstentions</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c>
          <w:tcPr/>
          <w:p>
            <w:pPr>
              <w:pStyle w:val="Compact"/>
              <w:jc w:val="right"/>
            </w:pPr>
            <w:r>
              <w:rPr>
                <w:highlight w:val="yellow"/>
              </w:rPr>
              <w:t xml:space="preserve">402.2</w:t>
            </w:r>
          </w:p>
        </w:tc>
      </w:tr>
      <w:tr>
        <w:tc>
          <w:tcPr/>
          <w:p>
            <w:pPr>
              <w:pStyle w:val="Compact"/>
              <w:jc w:val="left"/>
            </w:pPr>
            <w:r>
              <w:rPr>
                <w:highlight w:val="yellow"/>
              </w:rPr>
              <w:t xml:space="preserve">Unanimity required</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c>
          <w:tcPr/>
          <w:p>
            <w:pPr>
              <w:pStyle w:val="Compact"/>
              <w:jc w:val="right"/>
            </w:pPr>
            <w:r>
              <w:rPr>
                <w:highlight w:val="yellow"/>
              </w:rPr>
              <w:t xml:space="preserve">618.5</w:t>
            </w:r>
          </w:p>
        </w:tc>
      </w:tr>
      <w:tr>
        <w:tc>
          <w:tcPr/>
          <w:p>
            <w:pPr>
              <w:pStyle w:val="Compact"/>
              <w:jc w:val="left"/>
            </w:pPr>
            <w:r>
              <w:rPr>
                <w:highlight w:val="yellow"/>
              </w:rPr>
              <w:t xml:space="preserve">Label-dependent tie rule</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c>
          <w:tcPr/>
          <w:p>
            <w:pPr>
              <w:pStyle w:val="Compact"/>
              <w:jc w:val="right"/>
            </w:pPr>
            <w:r>
              <w:rPr>
                <w:highlight w:val="yellow"/>
              </w:rPr>
              <w:t xml:space="preserve">657.8</w:t>
            </w:r>
          </w:p>
        </w:tc>
      </w:tr>
      <w:tr>
        <w:tc>
          <w:tcPr/>
          <w:p>
            <w:pPr>
              <w:pStyle w:val="Compact"/>
              <w:jc w:val="left"/>
            </w:pPr>
            <w:r>
              <w:rPr>
                <w:highlight w:val="yellow"/>
              </w:rPr>
              <w:t xml:space="preserve">Single call: FATF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c>
          <w:tcPr/>
          <w:p>
            <w:pPr>
              <w:pStyle w:val="Compact"/>
              <w:jc w:val="right"/>
            </w:pPr>
            <w:r>
              <w:rPr>
                <w:highlight w:val="yellow"/>
              </w:rPr>
              <w:t xml:space="preserve">588.1</w:t>
            </w:r>
          </w:p>
        </w:tc>
      </w:tr>
      <w:tr>
        <w:tc>
          <w:tcPr/>
          <w:p>
            <w:pPr>
              <w:pStyle w:val="Compact"/>
              <w:jc w:val="left"/>
            </w:pPr>
            <w:r>
              <w:rPr>
                <w:highlight w:val="yellow"/>
              </w:rPr>
              <w:t xml:space="preserve">Single call: FATF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c>
          <w:tcPr/>
          <w:p>
            <w:pPr>
              <w:pStyle w:val="Compact"/>
              <w:jc w:val="right"/>
            </w:pPr>
            <w:r>
              <w:rPr>
                <w:highlight w:val="yellow"/>
              </w:rPr>
              <w:t xml:space="preserve">593.0</w:t>
            </w:r>
          </w:p>
        </w:tc>
      </w:tr>
      <w:tr>
        <w:tc>
          <w:tcPr/>
          <w:p>
            <w:pPr>
              <w:pStyle w:val="Compact"/>
              <w:jc w:val="left"/>
            </w:pPr>
            <w:r>
              <w:rPr>
                <w:highlight w:val="yellow"/>
              </w:rPr>
              <w:t xml:space="preserve">Single call: terse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c>
          <w:tcPr/>
          <w:p>
            <w:pPr>
              <w:pStyle w:val="Compact"/>
              <w:jc w:val="right"/>
            </w:pPr>
            <w:r>
              <w:rPr>
                <w:highlight w:val="yellow"/>
              </w:rPr>
              <w:t xml:space="preserve">637.0</w:t>
            </w:r>
          </w:p>
        </w:tc>
      </w:tr>
      <w:tr>
        <w:tc>
          <w:tcPr/>
          <w:p>
            <w:pPr>
              <w:pStyle w:val="Compact"/>
              <w:jc w:val="left"/>
            </w:pPr>
            <w:r>
              <w:rPr>
                <w:highlight w:val="yellow"/>
              </w:rPr>
              <w:t xml:space="preserve">Single call: terse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c>
          <w:tcPr/>
          <w:p>
            <w:pPr>
              <w:pStyle w:val="Compact"/>
              <w:jc w:val="right"/>
            </w:pPr>
            <w:r>
              <w:rPr>
                <w:highlight w:val="yellow"/>
              </w:rP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End w:id="30"/>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 it</w:t>
      </w:r>
      <w:r>
        <w:t xml:space="preserve"> </w:t>
      </w:r>
      <w:r>
        <w:rPr>
          <w:highlight w:val="yellow"/>
        </w:rPr>
        <w:t xml:space="preserve">One row of</w:t>
      </w:r>
      <w:r>
        <w:t xml:space="preserve"> </w:t>
      </w:r>
      <w:r>
        <w:t xml:space="preserve">Table </w:t>
      </w:r>
      <w:hyperlink w:anchor="tab:agg">
        <w:r>
          <w:rPr>
            <w:rStyle w:val="Hyperlink"/>
          </w:rPr>
          <w:t xml:space="preserve">1</w:t>
        </w:r>
      </w:hyperlink>
      <w:r>
        <w:t xml:space="preserve"> </w:t>
      </w:r>
      <w:r>
        <w:rPr>
          <w:highlight w:val="yellow"/>
        </w:rP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w:t>
      </w:r>
      <w:r>
        <w:t xml:space="preserve">%</w:t>
      </w:r>
      <w:r>
        <w:t xml:space="preserve"> </w:t>
      </w:r>
      <w:r>
        <w:rPr>
          <w:highlight w:val="yellow"/>
        </w:rPr>
        <w:t xml:space="preserve">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rPr>
          <w:highlight w:val="yellow"/>
        </w:rPr>
        <w:t xml:space="preserve">and does not consult the known case label. It</w:t>
      </w:r>
      <w:r>
        <w:t xml:space="preserve"> </w:t>
      </w:r>
      <w:r>
        <w:t xml:space="preserve">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Results under alternative tie policies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4" w:name="fig:fp"/>
    <w:p>
      <w:pPr>
        <w:pStyle w:val="CaptionedFigure"/>
      </w:pPr>
      <w:r>
        <w:drawing>
          <wp:inline>
            <wp:extent cx="3840480" cy="2416403"/>
            <wp:effectExtent b="0" l="0" r="0" t="0"/>
            <wp:docPr descr="" title="" id="32" name="Picture"/>
            <a:graphic>
              <a:graphicData uri="http://schemas.openxmlformats.org/drawingml/2006/picture">
                <pic:pic>
                  <pic:nvPicPr>
                    <pic:cNvPr descr="fig1_fp_by_model.png" id="33" name="Picture"/>
                    <pic:cNvPicPr>
                      <a:picLocks noChangeArrowheads="1" noChangeAspect="1"/>
                    </pic:cNvPicPr>
                  </pic:nvPicPr>
                  <pic:blipFill>
                    <a:blip r:embed="rId31"/>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4"/>
    <w:bookmarkStart w:id="38" w:name="fig:ops"/>
    <w:p>
      <w:pPr>
        <w:pStyle w:val="CaptionedFigure"/>
      </w:pPr>
      <w:r>
        <w:drawing>
          <wp:inline>
            <wp:extent cx="3307080" cy="2613081"/>
            <wp:effectExtent b="0" l="0" r="0" t="0"/>
            <wp:docPr descr="" title="" id="36" name="Picture"/>
            <a:graphic>
              <a:graphicData uri="http://schemas.openxmlformats.org/drawingml/2006/picture">
                <pic:pic>
                  <pic:nvPicPr>
                    <pic:cNvPr descr="fig2_operating_points.png" id="37" name="Picture"/>
                    <pic:cNvPicPr>
                      <a:picLocks noChangeArrowheads="1" noChangeAspect="1"/>
                    </pic:cNvPicPr>
                  </pic:nvPicPr>
                  <pic:blipFill>
                    <a:blip r:embed="rId35"/>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8"/>
    <w:bookmarkStart w:id="42" w:name="fig:vol"/>
    <w:p>
      <w:pPr>
        <w:pStyle w:val="CaptionedFigure"/>
      </w:pPr>
      <w:r>
        <w:drawing>
          <wp:inline>
            <wp:extent cx="3840480" cy="2425198"/>
            <wp:effectExtent b="0" l="0" r="0" t="0"/>
            <wp:docPr descr="" title="" id="40" name="Picture"/>
            <a:graphic>
              <a:graphicData uri="http://schemas.openxmlformats.org/drawingml/2006/picture">
                <pic:pic>
                  <pic:nvPicPr>
                    <pic:cNvPr descr="fig3_alert_volume.png" id="41" name="Picture"/>
                    <pic:cNvPicPr>
                      <a:picLocks noChangeArrowheads="1" noChangeAspect="1"/>
                    </pic:cNvPicPr>
                  </pic:nvPicPr>
                  <pic:blipFill>
                    <a:blip r:embed="rId39"/>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2"/>
    <w:bookmarkStart w:id="46" w:name="fig:sweep"/>
    <w:p>
      <w:pPr>
        <w:pStyle w:val="CaptionedFigure"/>
      </w:pPr>
      <w:r>
        <w:drawing>
          <wp:inline>
            <wp:extent cx="5067300" cy="2737586"/>
            <wp:effectExtent b="0" l="0" r="0" t="0"/>
            <wp:docPr descr="" title="" id="44" name="Picture"/>
            <a:graphic>
              <a:graphicData uri="http://schemas.openxmlformats.org/drawingml/2006/picture">
                <pic:pic>
                  <pic:nvPicPr>
                    <pic:cNvPr descr="fig6_prevalence_sweep.png" id="45" name="Picture"/>
                    <pic:cNvPicPr>
                      <a:picLocks noChangeArrowheads="1" noChangeAspect="1"/>
                    </pic:cNvPicPr>
                  </pic:nvPicPr>
                  <pic:blipFill>
                    <a:blip r:embed="rId43"/>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8"/>
    <w:p>
      <w:pPr>
        <w:pStyle w:val="BodyText"/>
      </w:pPr>
      <w:r>
        <w:t xml:space="preserve">Analyses used open-source software (Python, NumPy, scikit-learn, SciPy,</w:t>
      </w:r>
      <w:r>
        <w:t xml:space="preserve"> </w:t>
      </w:r>
      <w:r>
        <w:rPr>
          <w:strike/>
        </w:rPr>
        <w:t xml:space="preserve">Matplotlib); the</w:t>
      </w:r>
      <w:r>
        <w:t xml:space="preserve"> </w:t>
      </w:r>
      <w:r>
        <w:rPr>
          <w:highlight w:val="yellow"/>
        </w:rPr>
        <w:t xml:space="preserve">Matplotlib). The</w:t>
      </w:r>
      <w:r>
        <w:t xml:space="preserve"> </w:t>
      </w:r>
      <w:r>
        <w:t xml:space="preserve">authors thank the maintainers of these open-source projects.</w:t>
      </w:r>
    </w:p>
    <w:bookmarkEnd w:id="59"/>
    <w:bookmarkStart w:id="62"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rPr>
          <w:strike/>
        </w:rPr>
        <w:t xml:space="preserve">(MIT licence); the</w:t>
      </w:r>
      <w:r>
        <w:t xml:space="preserve"> </w:t>
      </w:r>
      <w:r>
        <w:rPr>
          <w:highlight w:val="yellow"/>
        </w:rPr>
        <w:t xml:space="preserve">under the MIT licence, and archived on Zenodo under the concept DOI</w:t>
      </w:r>
      <w:r>
        <w:t xml:space="preserve"> </w:t>
      </w:r>
      <w:hyperlink r:id="rId61">
        <w:r>
          <w:rPr>
            <w:rStyle w:val="Hyperlink"/>
          </w:rPr>
          <w:t xml:space="preserve">https://doi.org/10.5281/zenodo.23424852</w:t>
        </w:r>
      </w:hyperlink>
      <w:r>
        <w:rPr>
          <w:highlight w:val="yellow"/>
        </w:rPr>
        <w:t xml:space="preserve">, which resolves to the most recent version. The</w:t>
      </w:r>
      <w:r>
        <w:t xml:space="preserve"> </w:t>
      </w:r>
      <w:r>
        <w:t xml:space="preserve">repository root includes</w:t>
      </w:r>
      <w:r>
        <w:t xml:space="preserve"> </w:t>
      </w:r>
      <w:r>
        <w:rPr>
          <w:rStyle w:val="VerbatimChar"/>
        </w:rPr>
        <w:t xml:space="preserve">REPRODUCIBILITY_DOCUMENTATION.pdf</w:t>
      </w:r>
      <w:r>
        <w:t xml:space="preserve">, a</w:t>
      </w:r>
      <w:r>
        <w:t xml:space="preserve"> </w:t>
      </w:r>
      <w:r>
        <w:rPr>
          <w:strike/>
        </w:rPr>
        <w:t xml:space="preserve">section-by-section guide to every input, script,</w:t>
      </w:r>
      <w:r>
        <w:t xml:space="preserve"> </w:t>
      </w:r>
      <w:r>
        <w:rPr>
          <w:highlight w:val="yellow"/>
        </w:rPr>
        <w:t xml:space="preserve">guide to every input, script</w:t>
      </w:r>
      <w:r>
        <w:t xml:space="preserve"> </w:t>
      </w:r>
      <w:r>
        <w:t xml:space="preserve">and output and to the</w:t>
      </w:r>
      <w:r>
        <w:t xml:space="preserve"> </w:t>
      </w:r>
      <w:r>
        <w:rPr>
          <w:highlight w:val="yellow"/>
        </w:rPr>
        <w:t xml:space="preserve">offline reproduction, which runs with one command.</w:t>
      </w:r>
      <w:r>
        <w:t xml:space="preserve"> </w:t>
      </w:r>
      <w:r>
        <w:t xml:space="preserve">The study uses only synthetic</w:t>
      </w:r>
      <w:r>
        <w:t xml:space="preserve"> </w:t>
      </w:r>
      <w:r>
        <w:rPr>
          <w:strike/>
        </w:rPr>
        <w:t xml:space="preserve">data: no human participants, no proprietary records, and no live model access are needed</w:t>
      </w:r>
      <w:r>
        <w:t xml:space="preserve"> </w:t>
      </w:r>
      <w:r>
        <w:rPr>
          <w:highlight w:val="yellow"/>
        </w:rPr>
        <w:t xml:space="preserve">transaction data. No human participants, proprietary records or live model access are required</w:t>
      </w:r>
      <w:r>
        <w:t xml:space="preserve"> </w:t>
      </w:r>
      <w:r>
        <w:t xml:space="preserve">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rPr>
          <w:strike/>
        </w:rPr>
        <w:t xml:space="preserve">); its</w:t>
      </w:r>
      <w:r>
        <w:t xml:space="preserve"> </w:t>
      </w:r>
      <w:r>
        <w:rPr>
          <w:highlight w:val="yellow"/>
        </w:rPr>
        <w:t xml:space="preserve">). Its</w:t>
      </w:r>
      <w:r>
        <w:t xml:space="preserve"> </w:t>
      </w:r>
      <w:r>
        <w:t xml:space="preserve">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w:t>
      </w:r>
      <w:r>
        <w:t xml:space="preserve"> </w:t>
      </w:r>
      <w:r>
        <w:rPr>
          <w:strike/>
        </w:rPr>
        <w:t xml:space="preserve">applicable (synthetic data only;</w:t>
      </w:r>
      <w:r>
        <w:t xml:space="preserve"> </w:t>
      </w:r>
      <w:r>
        <w:rPr>
          <w:highlight w:val="yellow"/>
        </w:rPr>
        <w:t xml:space="preserve">applicable. The study uses synthetic data only, with</w:t>
      </w:r>
      <w:r>
        <w:t xml:space="preserve"> </w:t>
      </w:r>
      <w:r>
        <w:t xml:space="preserve">no human participants, human tissue or</w:t>
      </w:r>
      <w:r>
        <w:t xml:space="preserve"> </w:t>
      </w:r>
      <w:r>
        <w:rPr>
          <w:strike/>
        </w:rPr>
        <w:t xml:space="preserve">animals).</w:t>
      </w:r>
      <w:r>
        <w:t xml:space="preserve"> </w:t>
      </w:r>
      <w:r>
        <w:rPr>
          <w:b/>
          <w:bCs/>
          <w:strike/>
        </w:rPr>
        <w:t xml:space="preserve">Consent for publication.</w:t>
      </w:r>
      <w:r>
        <w:rPr>
          <w:strike/>
        </w:rPr>
        <w:t xml:space="preserve"> </w:t>
      </w:r>
      <w:r>
        <w:rPr>
          <w:strike/>
        </w:rPr>
        <w:t xml:space="preserve">Not applicable.</w:t>
      </w:r>
      <w:r>
        <w:t xml:space="preserve"> </w:t>
      </w:r>
      <w:r>
        <w:rPr>
          <w:b/>
          <w:bCs/>
          <w:strike/>
        </w:rPr>
        <w:t xml:space="preserve">Materials availability.</w:t>
      </w:r>
      <w:r>
        <w:rPr>
          <w:strike/>
        </w:rPr>
        <w:t xml:space="preserve"> </w:t>
      </w:r>
      <w:r>
        <w:rPr>
          <w:strike/>
        </w:rPr>
        <w:t xml:space="preserve">Not applicable (the</w:t>
      </w:r>
      <w:r>
        <w:t xml:space="preserve"> </w:t>
      </w:r>
      <w:r>
        <w:rPr>
          <w:highlight w:val="yellow"/>
        </w:rPr>
        <w:t xml:space="preserve">animals.</w:t>
      </w:r>
    </w:p>
    <w:p>
      <w:pPr>
        <w:pStyle w:val="BodyText"/>
      </w:pPr>
      <w:r>
        <w:rPr>
          <w:b/>
          <w:bCs/>
        </w:rPr>
        <w:t xml:space="preserve">Consent for publication.</w:t>
      </w:r>
      <w:r>
        <w:t xml:space="preserve"> </w:t>
      </w:r>
      <w:r>
        <w:rPr>
          <w:highlight w:val="yellow"/>
        </w:rPr>
        <w:t xml:space="preserve">Not applicable.</w:t>
      </w:r>
    </w:p>
    <w:p>
      <w:pPr>
        <w:pStyle w:val="BodyText"/>
      </w:pPr>
      <w:r>
        <w:rPr>
          <w:b/>
          <w:bCs/>
        </w:rPr>
        <w:t xml:space="preserve">Materials availability.</w:t>
      </w:r>
      <w:r>
        <w:t xml:space="preserve"> </w:t>
      </w:r>
      <w:r>
        <w:rPr>
          <w:highlight w:val="yellow"/>
        </w:rPr>
        <w:t xml:space="preserve">Not applicable. The</w:t>
      </w:r>
      <w:r>
        <w:t xml:space="preserve"> </w:t>
      </w:r>
      <w:r>
        <w:t xml:space="preserve">study uses only synthetic data and open-source</w:t>
      </w:r>
      <w:r>
        <w:t xml:space="preserve"> </w:t>
      </w:r>
      <w:r>
        <w:rPr>
          <w:strike/>
        </w:rPr>
        <w:t xml:space="preserve">software; no physical materials).</w:t>
      </w:r>
      <w:r>
        <w:t xml:space="preserve"> </w:t>
      </w:r>
      <w:r>
        <w:rPr>
          <w:highlight w:val="yellow"/>
        </w:rPr>
        <w:t xml:space="preserve">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w:t>
      </w:r>
      <w:r>
        <w:t xml:space="preserve"> </w:t>
      </w:r>
      <w:r>
        <w:rPr>
          <w:strike/>
        </w:rPr>
        <w:t xml:space="preserve">0009-0007-2779-3492;</w:t>
      </w:r>
      <w:r>
        <w:t xml:space="preserve"> </w:t>
      </w:r>
      <w:r>
        <w:rPr>
          <w:highlight w:val="yellow"/>
        </w:rPr>
        <w:t xml:space="preserve">0009-0007-2779-3492,</w:t>
      </w:r>
      <w:r>
        <w:t xml:space="preserve"> </w:t>
      </w:r>
      <w:r>
        <w:t xml:space="preserve">R.C. 0009-0007-2807-3948.</w:t>
      </w:r>
    </w:p>
    <w:bookmarkEnd w:id="62"/>
    <w:bookmarkStart w:id="9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3">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4">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5">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6">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7">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8">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9">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70">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1">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2">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3">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4">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5">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8">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9">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80">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1">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2">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3">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4">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5">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6">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7">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8">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9">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90">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1">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2">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4">
        <w:r>
          <w:rPr>
            <w:rStyle w:val="Hyperlink"/>
          </w:rPr>
          <w:t xml:space="preserve">https://doi.org/10.1007/s44163-026-01283-3</w:t>
        </w:r>
      </w:hyperlink>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8" Target="https://ai.google.dev/gemini-api/docs/models" TargetMode="External" /><Relationship Type="http://schemas.openxmlformats.org/officeDocument/2006/relationships/hyperlink" Id="rId77" Target="https://doi.org/10.1002/isaf.1509" TargetMode="External" /><Relationship Type="http://schemas.openxmlformats.org/officeDocument/2006/relationships/hyperlink" Id="rId71" Target="https://doi.org/10.1002/wics.70040" TargetMode="External" /><Relationship Type="http://schemas.openxmlformats.org/officeDocument/2006/relationships/hyperlink" Id="rId84" Target="https://doi.org/10.1007/BF02295996" TargetMode="External" /><Relationship Type="http://schemas.openxmlformats.org/officeDocument/2006/relationships/hyperlink" Id="rId66" Target="https://doi.org/10.1007/s44163-025-00574-5" TargetMode="External" /><Relationship Type="http://schemas.openxmlformats.org/officeDocument/2006/relationships/hyperlink" Id="rId86" Target="https://doi.org/10.1007/s44163-026-00866-4" TargetMode="External" /><Relationship Type="http://schemas.openxmlformats.org/officeDocument/2006/relationships/hyperlink" Id="rId64" Target="https://doi.org/10.1007/s44163-026-00894-0" TargetMode="External" /><Relationship Type="http://schemas.openxmlformats.org/officeDocument/2006/relationships/hyperlink" Id="rId94" Target="https://doi.org/10.1007/s44163-026-01283-3" TargetMode="External" /><Relationship Type="http://schemas.openxmlformats.org/officeDocument/2006/relationships/hyperlink" Id="rId63" Target="https://doi.org/10.1016/j.cosrev.2021.100402" TargetMode="External" /><Relationship Type="http://schemas.openxmlformats.org/officeDocument/2006/relationships/hyperlink" Id="rId89" Target="https://doi.org/10.1016/j.dss.2020.113303" TargetMode="External" /><Relationship Type="http://schemas.openxmlformats.org/officeDocument/2006/relationships/hyperlink" Id="rId70" Target="https://doi.org/10.1017/can.2022.3" TargetMode="External" /><Relationship Type="http://schemas.openxmlformats.org/officeDocument/2006/relationships/hyperlink" Id="rId81" Target="https://doi.org/10.1038/s41597-023-02569-2" TargetMode="External" /><Relationship Type="http://schemas.openxmlformats.org/officeDocument/2006/relationships/hyperlink" Id="rId83" Target="https://doi.org/10.1073/pnas.2018340118" TargetMode="External" /><Relationship Type="http://schemas.openxmlformats.org/officeDocument/2006/relationships/hyperlink" Id="rId93" Target="https://doi.org/10.1080/01621459.1927.10502953" TargetMode="External" /><Relationship Type="http://schemas.openxmlformats.org/officeDocument/2006/relationships/hyperlink" Id="rId69" Target="https://doi.org/10.1093/biomet/37.3-4.256" TargetMode="External" /><Relationship Type="http://schemas.openxmlformats.org/officeDocument/2006/relationships/hyperlink" Id="rId82" Target="https://doi.org/10.1108/JMLC-07-2019-0055" TargetMode="External" /><Relationship Type="http://schemas.openxmlformats.org/officeDocument/2006/relationships/hyperlink" Id="rId88" Target="https://doi.org/10.1109/ICEBE59045.2023.00028" TargetMode="External" /><Relationship Type="http://schemas.openxmlformats.org/officeDocument/2006/relationships/hyperlink" Id="rId80" Target="https://doi.org/10.1109/TKDE.2008.239" TargetMode="External" /><Relationship Type="http://schemas.openxmlformats.org/officeDocument/2006/relationships/hyperlink" Id="rId91" Target="https://doi.org/10.1145/2939672.2939778" TargetMode="External" /><Relationship Type="http://schemas.openxmlformats.org/officeDocument/2006/relationships/hyperlink" Id="rId85" Target="https://doi.org/10.1145/3287560.3287596" TargetMode="External" /><Relationship Type="http://schemas.openxmlformats.org/officeDocument/2006/relationships/hyperlink" Id="rId90" Target="https://doi.org/10.1145/3351095.3372873" TargetMode="External" /><Relationship Type="http://schemas.openxmlformats.org/officeDocument/2006/relationships/hyperlink" Id="rId67" Target="https://doi.org/10.1145/3442188.3445922" TargetMode="External" /><Relationship Type="http://schemas.openxmlformats.org/officeDocument/2006/relationships/hyperlink" Id="rId76" Target="https://doi.org/10.1145/3458723" TargetMode="External" /><Relationship Type="http://schemas.openxmlformats.org/officeDocument/2006/relationships/hyperlink" Id="rId72" Target="https://doi.org/10.1214/aos/1176344552" TargetMode="External" /><Relationship Type="http://schemas.openxmlformats.org/officeDocument/2006/relationships/hyperlink" Id="rId79" Target="https://doi.org/10.1348/000711006X126600" TargetMode="External" /><Relationship Type="http://schemas.openxmlformats.org/officeDocument/2006/relationships/hyperlink" Id="rId68" Target="https://doi.org/10.1613/jair.953" TargetMode="External" /><Relationship Type="http://schemas.openxmlformats.org/officeDocument/2006/relationships/hyperlink" Id="rId65" Target="https://doi.org/10.52202/075280-1300" TargetMode="External" /><Relationship Type="http://schemas.openxmlformats.org/officeDocument/2006/relationships/hyperlink" Id="rId61" Target="https://doi.org/10.5281/zenodo.23424852" TargetMode="External" /><Relationship Type="http://schemas.openxmlformats.org/officeDocument/2006/relationships/hyperlink" Id="rId87" Target="https://doi.org/10.6028/NIST.AI.100-1" TargetMode="External" /><Relationship Type="http://schemas.openxmlformats.org/officeDocument/2006/relationships/hyperlink" Id="rId73" Target="https://eur-lex.europa.eu/eli/reg/2024/1689/oj" TargetMode="External" /><Relationship Type="http://schemas.openxmlformats.org/officeDocument/2006/relationships/hyperlink" Id="rId60" Target="https://github.com/samirrc2/ai-foundation-model-aml-false-positives" TargetMode="External" /><Relationship Type="http://schemas.openxmlformats.org/officeDocument/2006/relationships/hyperlink" Id="rId75" Target="https://www.fatf-gafi.org/en/publications/Digitaltransformation/Data-pooling-collaborative-analytics-data-protection.html" TargetMode="External" /><Relationship Type="http://schemas.openxmlformats.org/officeDocument/2006/relationships/hyperlink" Id="rId74" Target="https://www.fatf-gafi.org/en/publications/Fatfrecommendations/Fatf-recommendations.html" TargetMode="External" /><Relationship Type="http://schemas.openxmlformats.org/officeDocument/2006/relationships/hyperlink" Id="rId92"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2026-10-16T21:55:14Z</dcterms:created>
  <dcterms:modified xsi:type="dcterms:W3CDTF">2026-10-16T21:55:14Z</dcterms:modified>
</cp:coreProperties>
</file>

<file path=docProps/custom.xml><?xml version="1.0" encoding="utf-8"?>
<Properties xmlns="http://schemas.openxmlformats.org/officeDocument/2006/custom-properties" xmlns:vt="http://schemas.openxmlformats.org/officeDocument/2006/docPropsVTypes"/>
</file>