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rPr>
          <w:strike/>
        </w:rPr>
        <w:t xml:space="preserve">substituted, repriced or retired by providers, model identity and operating-point stability should be explicitly incorporated into model-risk governance, validation and ongoing monitoring.</w:t>
      </w:r>
      <w:r>
        <w:t xml:space="preserve"> </w:t>
      </w:r>
      <w:r>
        <w:rPr>
          <w:highlight w:val="yellow"/>
        </w:rP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9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5">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6">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7">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8">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9">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70">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1">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2">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3">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4">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5">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8">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9">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80">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1">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2">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3">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4">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5">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6">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7">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8">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9">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90">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1">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2">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4">
        <w:r>
          <w:rPr>
            <w:rStyle w:val="Hyperlink"/>
          </w:rPr>
          <w:t xml:space="preserve">https://doi.org/10.1007/s44163-026-01283-3</w:t>
        </w:r>
      </w:hyperlink>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2026-10-16T20:21:48Z</dcterms:created>
  <dcterms:modified xsi:type="dcterms:W3CDTF">2026-10-16T20:21:48Z</dcterms:modified>
</cp:coreProperties>
</file>

<file path=docProps/custom.xml><?xml version="1.0" encoding="utf-8"?>
<Properties xmlns="http://schemas.openxmlformats.org/officeDocument/2006/custom-properties" xmlns:vt="http://schemas.openxmlformats.org/officeDocument/2006/docPropsVTypes"/>
</file>