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p>
      <w:pPr>
        <w:pStyle w:val="FirstParagraph"/>
      </w:pPr>
      <w:r>
        <w:rPr>
          <w:b/>
          <w:bCs/>
        </w:rPr>
        <w:t xml:space="preserve">Samir Chincholikar, Robin Chawla</w:t>
      </w:r>
    </w:p>
    <w:p>
      <w:pPr>
        <w:pStyle w:val="BodyText"/>
      </w:pPr>
      <w:r>
        <w:t xml:space="preserve">Independent Researcher</w:t>
      </w:r>
    </w:p>
    <w:p>
      <w:pPr>
        <w:pStyle w:val="BodyText"/>
      </w:pPr>
      <w:r>
        <w:t xml:space="preserve">Corresponding author: Robin Chawla (robin.chawla.cse14@iitbhu.ac.in)</w:t>
      </w: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t xml:space="preserve"> </w:t>
      </w:r>
      <w: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sustained interface access for the full run could not be secured. The final grid of five models from two providers is therefore the result of documented attrition rather than a two-provider design, and, because tier is defined only within providers, a provider main effect cannot be separated from the tier effect.</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 Ties are not uniformly distributed: on legitimate cases they number 6, 20, 40, 58 and 8 for Gemini Flash, GPT-4o, GPT-4.1-mini, Gemini Flash-Lite and GPT-4o-mini respectively, and on suspicious cases 19, 15, 10, 4 and 0. They concentrate where a model sits near its own decision boundary, so the rule affects the middle of the distribution more than its extremes.</w:t>
      </w:r>
    </w:p>
    <w:p>
      <w:pPr>
        <w:pStyle w:val="BodyText"/>
      </w:pPr>
      <w:r>
        <w:rPr>
          <w:highlight w:val="yellow"/>
        </w:rPr>
        <w:t xml:space="preserve">Because the choice of rule is consequential, the results are reported under four further tie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label-dependent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Those rates are therefore attainable without reference to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All Cochran’s</w:t>
      </w:r>
      <w:r>
        <w:t xml:space="preserve"> </w:t>
      </w:r>
      <m:oMath>
        <m:r>
          <m:t>Q</m:t>
        </m:r>
      </m:oMath>
      <w:r>
        <w:t xml:space="preserve"> </w:t>
      </w:r>
      <w:r>
        <w:rPr>
          <w:highlight w:val="yellow"/>
        </w:rPr>
        <w:t xml:space="preserve">values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In principle, model-specific threshold tuning could narrow the false-positive-rate spread, but models could still differ in the miss rates achieved at a common false-positive rate.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dropped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Results are reported under four further tie policies and each deployable single-call configuration</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tie rule</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Results under alternative tie policies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9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5">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6">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7">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8">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9">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70">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1">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2">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3">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4">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5">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6">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7">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8">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9">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80">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1">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2">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3">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4">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5">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6">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7">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8">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9">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90">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1">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2">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4">
        <w:r>
          <w:rPr>
            <w:rStyle w:val="Hyperlink"/>
          </w:rPr>
          <w:t xml:space="preserve">https://doi.org/10.1007/s44163-026-01283-3</w:t>
        </w:r>
      </w:hyperlink>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2026-10-21T01:06:08Z</dcterms:created>
  <dcterms:modified xsi:type="dcterms:W3CDTF">2026-10-21T01:06:08Z</dcterms:modified>
</cp:coreProperties>
</file>

<file path=docProps/custom.xml><?xml version="1.0" encoding="utf-8"?>
<Properties xmlns="http://schemas.openxmlformats.org/officeDocument/2006/custom-properties" xmlns:vt="http://schemas.openxmlformats.org/officeDocument/2006/docPropsVTypes"/>
</file>